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CA" w:rsidRPr="006963CA" w:rsidRDefault="006963CA" w:rsidP="006963CA">
      <w:pPr>
        <w:tabs>
          <w:tab w:val="left" w:pos="994"/>
        </w:tabs>
        <w:rPr>
          <w:lang w:val="en-US"/>
        </w:rPr>
      </w:pPr>
    </w:p>
    <w:tbl>
      <w:tblPr>
        <w:tblpPr w:leftFromText="180" w:rightFromText="180" w:vertAnchor="page" w:horzAnchor="margin" w:tblpXSpec="center" w:tblpY="221"/>
        <w:tblW w:w="11310" w:type="dxa"/>
        <w:tblLayout w:type="fixed"/>
        <w:tblLook w:val="04A0" w:firstRow="1" w:lastRow="0" w:firstColumn="1" w:lastColumn="0" w:noHBand="0" w:noVBand="1"/>
      </w:tblPr>
      <w:tblGrid>
        <w:gridCol w:w="2492"/>
        <w:gridCol w:w="8818"/>
      </w:tblGrid>
      <w:tr w:rsidR="006963CA" w:rsidTr="006963CA">
        <w:trPr>
          <w:cantSplit/>
          <w:trHeight w:val="596"/>
        </w:trPr>
        <w:tc>
          <w:tcPr>
            <w:tcW w:w="2491" w:type="dxa"/>
            <w:vMerge w:val="restart"/>
            <w:tcBorders>
              <w:top w:val="nil"/>
              <w:left w:val="nil"/>
              <w:bottom w:val="thinThickSmallGap" w:sz="18" w:space="0" w:color="C0504D"/>
              <w:right w:val="nil"/>
            </w:tcBorders>
            <w:vAlign w:val="center"/>
            <w:hideMark/>
          </w:tcPr>
          <w:p w:rsidR="006963CA" w:rsidRDefault="006963CA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444625" cy="1390015"/>
                  <wp:effectExtent l="0" t="0" r="3175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25" cy="139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:rsidR="006963CA" w:rsidRDefault="006963CA">
            <w:pPr>
              <w:jc w:val="both"/>
              <w:rPr>
                <w:color w:val="000000"/>
              </w:rPr>
            </w:pPr>
          </w:p>
        </w:tc>
      </w:tr>
      <w:tr w:rsidR="006963CA" w:rsidTr="006963CA">
        <w:trPr>
          <w:cantSplit/>
          <w:trHeight w:val="155"/>
        </w:trPr>
        <w:tc>
          <w:tcPr>
            <w:tcW w:w="2491" w:type="dxa"/>
            <w:vMerge/>
            <w:tcBorders>
              <w:top w:val="nil"/>
              <w:left w:val="nil"/>
              <w:bottom w:val="thinThickSmallGap" w:sz="18" w:space="0" w:color="C0504D"/>
              <w:right w:val="nil"/>
            </w:tcBorders>
            <w:vAlign w:val="center"/>
            <w:hideMark/>
          </w:tcPr>
          <w:p w:rsidR="006963CA" w:rsidRDefault="006963CA">
            <w:pPr>
              <w:suppressAutoHyphens w:val="0"/>
              <w:rPr>
                <w:color w:val="000000"/>
              </w:rPr>
            </w:pPr>
          </w:p>
        </w:tc>
        <w:tc>
          <w:tcPr>
            <w:tcW w:w="8816" w:type="dxa"/>
            <w:hideMark/>
          </w:tcPr>
          <w:p w:rsidR="006963CA" w:rsidRDefault="006963CA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Република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6963CA" w:rsidTr="006963CA">
        <w:trPr>
          <w:cantSplit/>
          <w:trHeight w:val="155"/>
        </w:trPr>
        <w:tc>
          <w:tcPr>
            <w:tcW w:w="2491" w:type="dxa"/>
            <w:vMerge/>
            <w:tcBorders>
              <w:top w:val="nil"/>
              <w:left w:val="nil"/>
              <w:bottom w:val="thinThickSmallGap" w:sz="18" w:space="0" w:color="C0504D"/>
              <w:right w:val="nil"/>
            </w:tcBorders>
            <w:vAlign w:val="center"/>
            <w:hideMark/>
          </w:tcPr>
          <w:p w:rsidR="006963CA" w:rsidRDefault="006963CA">
            <w:pPr>
              <w:suppressAutoHyphens w:val="0"/>
              <w:rPr>
                <w:color w:val="000000"/>
              </w:rPr>
            </w:pPr>
          </w:p>
        </w:tc>
        <w:tc>
          <w:tcPr>
            <w:tcW w:w="8816" w:type="dxa"/>
            <w:hideMark/>
          </w:tcPr>
          <w:p w:rsidR="006963CA" w:rsidRDefault="006963CA">
            <w:pPr>
              <w:jc w:val="both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Аутономна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sr-Cyrl-RS"/>
              </w:rPr>
              <w:t>п</w:t>
            </w:r>
            <w:proofErr w:type="spellStart"/>
            <w:r>
              <w:rPr>
                <w:bCs/>
                <w:color w:val="000000"/>
              </w:rPr>
              <w:t>окрајина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6963CA" w:rsidTr="006963CA">
        <w:trPr>
          <w:cantSplit/>
          <w:trHeight w:val="342"/>
        </w:trPr>
        <w:tc>
          <w:tcPr>
            <w:tcW w:w="2491" w:type="dxa"/>
            <w:vMerge/>
            <w:tcBorders>
              <w:top w:val="nil"/>
              <w:left w:val="nil"/>
              <w:bottom w:val="thinThickSmallGap" w:sz="18" w:space="0" w:color="C0504D"/>
              <w:right w:val="nil"/>
            </w:tcBorders>
            <w:vAlign w:val="center"/>
            <w:hideMark/>
          </w:tcPr>
          <w:p w:rsidR="006963CA" w:rsidRDefault="006963CA">
            <w:pPr>
              <w:suppressAutoHyphens w:val="0"/>
              <w:rPr>
                <w:color w:val="000000"/>
              </w:rPr>
            </w:pPr>
          </w:p>
        </w:tc>
        <w:tc>
          <w:tcPr>
            <w:tcW w:w="8816" w:type="dxa"/>
            <w:tcBorders>
              <w:top w:val="nil"/>
              <w:left w:val="nil"/>
              <w:bottom w:val="thinThickMediumGap" w:sz="8" w:space="0" w:color="F79646"/>
              <w:right w:val="nil"/>
            </w:tcBorders>
            <w:hideMark/>
          </w:tcPr>
          <w:p w:rsidR="006963CA" w:rsidRDefault="006963CA">
            <w:pPr>
              <w:jc w:val="both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>ГРАД</w:t>
            </w:r>
            <w:r>
              <w:rPr>
                <w:bCs/>
                <w:color w:val="000000"/>
              </w:rPr>
              <w:t xml:space="preserve"> КИКИНДА</w:t>
            </w:r>
          </w:p>
          <w:p w:rsidR="006963CA" w:rsidRDefault="006963CA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ГРАДОНАЧЕЛНИК</w:t>
            </w:r>
          </w:p>
          <w:p w:rsidR="006963CA" w:rsidRDefault="006963CA">
            <w:pPr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sr-Cyrl-RS"/>
              </w:rPr>
              <w:t xml:space="preserve">Број: </w:t>
            </w:r>
            <w:r>
              <w:rPr>
                <w:bCs/>
              </w:rPr>
              <w:t xml:space="preserve"> V-</w:t>
            </w:r>
            <w:r>
              <w:rPr>
                <w:bCs/>
                <w:lang w:val="sr-Cyrl-CS"/>
              </w:rPr>
              <w:t>352</w:t>
            </w:r>
            <w:r>
              <w:rPr>
                <w:bCs/>
              </w:rPr>
              <w:t>-871/201</w:t>
            </w:r>
            <w:r>
              <w:rPr>
                <w:bCs/>
                <w:lang w:val="sr-Cyrl-CS"/>
              </w:rPr>
              <w:t>9</w:t>
            </w:r>
          </w:p>
          <w:p w:rsidR="006963CA" w:rsidRDefault="006963CA">
            <w:pPr>
              <w:jc w:val="both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 xml:space="preserve">Дана: </w:t>
            </w:r>
            <w:r>
              <w:rPr>
                <w:bCs/>
                <w:color w:val="000000"/>
                <w:lang w:val="en-US"/>
              </w:rPr>
              <w:t>04</w:t>
            </w:r>
            <w:r>
              <w:rPr>
                <w:bCs/>
                <w:color w:val="000000"/>
                <w:lang w:val="sr-Cyrl-RS"/>
              </w:rPr>
              <w:t>.</w:t>
            </w:r>
            <w:r>
              <w:rPr>
                <w:bCs/>
                <w:color w:val="000000"/>
                <w:lang w:val="en-US"/>
              </w:rPr>
              <w:t>11</w:t>
            </w:r>
            <w:r>
              <w:rPr>
                <w:bCs/>
                <w:color w:val="000000"/>
                <w:lang w:val="sr-Cyrl-RS"/>
              </w:rPr>
              <w:t xml:space="preserve">.2019. године                                </w:t>
            </w:r>
          </w:p>
          <w:p w:rsidR="006963CA" w:rsidRDefault="006963CA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 и к и н д а</w:t>
            </w:r>
          </w:p>
        </w:tc>
      </w:tr>
    </w:tbl>
    <w:p w:rsidR="005A53BB" w:rsidRDefault="005A53BB" w:rsidP="00044940">
      <w:pPr>
        <w:tabs>
          <w:tab w:val="left" w:pos="1134"/>
        </w:tabs>
        <w:ind w:firstLine="709"/>
        <w:jc w:val="both"/>
        <w:rPr>
          <w:lang w:val="en-US"/>
        </w:rPr>
      </w:pPr>
    </w:p>
    <w:p w:rsidR="005A53BB" w:rsidRPr="00031CFD" w:rsidRDefault="005A53BB" w:rsidP="00044940">
      <w:pPr>
        <w:tabs>
          <w:tab w:val="left" w:pos="1134"/>
        </w:tabs>
        <w:ind w:left="567" w:firstLine="153"/>
        <w:jc w:val="both"/>
        <w:rPr>
          <w:lang w:val="sr-Cyrl-RS"/>
        </w:rPr>
      </w:pPr>
      <w:r>
        <w:rPr>
          <w:lang w:val="sr-Cyrl-CS"/>
        </w:rPr>
        <w:t xml:space="preserve">На основу  члана 41. и 43. Закона о оглашавању („Службени гласник Републике Србије“, број </w:t>
      </w:r>
      <w:r>
        <w:rPr>
          <w:lang w:val="sr-Cyrl-RS"/>
        </w:rPr>
        <w:t>6</w:t>
      </w:r>
      <w:r>
        <w:t>/2016</w:t>
      </w:r>
      <w:r>
        <w:rPr>
          <w:lang w:val="sr-Cyrl-RS"/>
        </w:rPr>
        <w:t xml:space="preserve">) и члана 30. Одлуке о оглашавању („Службени лист града Кикинде“, </w:t>
      </w:r>
      <w:r w:rsidR="00A124A8">
        <w:rPr>
          <w:lang w:val="sr-Cyrl-RS"/>
        </w:rPr>
        <w:t>број 34/2017 и 9/2019</w:t>
      </w:r>
      <w:r>
        <w:rPr>
          <w:lang w:val="sr-Cyrl-RS"/>
        </w:rPr>
        <w:t>)</w:t>
      </w:r>
      <w:r w:rsidR="00A124A8">
        <w:rPr>
          <w:lang w:val="sr-Cyrl-RS"/>
        </w:rPr>
        <w:t>, на предлог</w:t>
      </w:r>
      <w:r>
        <w:rPr>
          <w:lang w:val="sr-Cyrl-RS"/>
        </w:rPr>
        <w:t xml:space="preserve"> </w:t>
      </w:r>
      <w:proofErr w:type="spellStart"/>
      <w:r>
        <w:t>Комисиј</w:t>
      </w:r>
      <w:proofErr w:type="spellEnd"/>
      <w:r w:rsidR="00A124A8">
        <w:rPr>
          <w:lang w:val="sr-Cyrl-CS"/>
        </w:rPr>
        <w:t>е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прибављања</w:t>
      </w:r>
      <w:proofErr w:type="spellEnd"/>
      <w:r>
        <w:t xml:space="preserve"> и </w:t>
      </w:r>
      <w:proofErr w:type="spellStart"/>
      <w:r>
        <w:t>отуђења</w:t>
      </w:r>
      <w:proofErr w:type="spellEnd"/>
      <w:r>
        <w:t xml:space="preserve"> и </w:t>
      </w:r>
      <w:proofErr w:type="spellStart"/>
      <w:r>
        <w:t>давања</w:t>
      </w:r>
      <w:proofErr w:type="spellEnd"/>
      <w:r>
        <w:t xml:space="preserve"> у </w:t>
      </w:r>
      <w:proofErr w:type="spellStart"/>
      <w:r>
        <w:t>закуп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и </w:t>
      </w:r>
      <w:proofErr w:type="spellStart"/>
      <w:r>
        <w:t>покретних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 у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својини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Кикинде</w:t>
      </w:r>
      <w:proofErr w:type="spellEnd"/>
      <w:r w:rsidR="00A124A8">
        <w:rPr>
          <w:lang w:val="sr-Cyrl-CS"/>
        </w:rPr>
        <w:t xml:space="preserve">, </w:t>
      </w:r>
      <w:r>
        <w:t xml:space="preserve"> </w:t>
      </w:r>
      <w:r>
        <w:rPr>
          <w:lang w:val="sr-Cyrl-RS"/>
        </w:rPr>
        <w:t xml:space="preserve">Градоначелник града Кикинде дана </w:t>
      </w:r>
      <w:r w:rsidR="00A124A8">
        <w:rPr>
          <w:lang w:val="sr-Cyrl-RS"/>
        </w:rPr>
        <w:t>04</w:t>
      </w:r>
      <w:r w:rsidRPr="00AB298E">
        <w:rPr>
          <w:lang w:val="sr-Cyrl-RS"/>
        </w:rPr>
        <w:t>.</w:t>
      </w:r>
      <w:r w:rsidR="00A124A8">
        <w:rPr>
          <w:lang w:val="sr-Cyrl-RS"/>
        </w:rPr>
        <w:t>11</w:t>
      </w:r>
      <w:r w:rsidRPr="00AB298E">
        <w:rPr>
          <w:lang w:val="sr-Cyrl-RS"/>
        </w:rPr>
        <w:t>.</w:t>
      </w:r>
      <w:r>
        <w:rPr>
          <w:lang w:val="sr-Cyrl-RS"/>
        </w:rPr>
        <w:t xml:space="preserve"> 2019. године доноси  </w:t>
      </w:r>
    </w:p>
    <w:p w:rsidR="005A53BB" w:rsidRDefault="005A53BB" w:rsidP="000C6F98">
      <w:pPr>
        <w:tabs>
          <w:tab w:val="left" w:pos="1134"/>
        </w:tabs>
        <w:rPr>
          <w:lang w:val="sr-Cyrl-CS"/>
        </w:rPr>
      </w:pPr>
    </w:p>
    <w:p w:rsidR="005A53BB" w:rsidRDefault="005A53BB" w:rsidP="000C6F98">
      <w:pPr>
        <w:tabs>
          <w:tab w:val="left" w:pos="1134"/>
        </w:tabs>
        <w:jc w:val="center"/>
        <w:rPr>
          <w:lang w:val="sr-Cyrl-CS"/>
        </w:rPr>
      </w:pPr>
    </w:p>
    <w:p w:rsidR="005A53BB" w:rsidRPr="00101F48" w:rsidRDefault="005A53BB" w:rsidP="000C6F98">
      <w:pPr>
        <w:tabs>
          <w:tab w:val="left" w:pos="1134"/>
        </w:tabs>
        <w:jc w:val="center"/>
        <w:rPr>
          <w:b/>
          <w:bCs/>
          <w:sz w:val="28"/>
          <w:szCs w:val="28"/>
          <w:lang w:val="sr-Cyrl-CS"/>
        </w:rPr>
      </w:pPr>
      <w:r w:rsidRPr="00101F48">
        <w:rPr>
          <w:b/>
          <w:bCs/>
          <w:sz w:val="28"/>
          <w:szCs w:val="28"/>
          <w:lang w:val="sr-Cyrl-CS"/>
        </w:rPr>
        <w:t>О Д Л У К У</w:t>
      </w:r>
    </w:p>
    <w:p w:rsidR="005A53BB" w:rsidRDefault="005A53BB" w:rsidP="000C6F98">
      <w:pPr>
        <w:tabs>
          <w:tab w:val="left" w:pos="1134"/>
        </w:tabs>
        <w:jc w:val="center"/>
        <w:rPr>
          <w:lang w:val="sr-Cyrl-CS"/>
        </w:rPr>
      </w:pPr>
    </w:p>
    <w:p w:rsidR="005A53BB" w:rsidRDefault="005A53BB" w:rsidP="000C6F98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О РАСПИСИВАЊУ ЈАВНОГ КОНКУРСА ЗА СТИЦАЊЕ ПРАВА НА ПРИВРЕМЕНО КОРИШЋЕЊЕ ЈАВНЕ ПОВРШИНЕ ПУТЕМ </w:t>
      </w:r>
      <w:r w:rsidRPr="00A124A8">
        <w:rPr>
          <w:lang w:val="sr-Cyrl-CS"/>
        </w:rPr>
        <w:t>ЈАВНОГ</w:t>
      </w:r>
      <w:r>
        <w:rPr>
          <w:lang w:val="sr-Cyrl-CS"/>
        </w:rPr>
        <w:t xml:space="preserve"> НАДМЕТАЊА ЗА ПОСТАВЉАЊЕ ОГЛАСНИХ ПАНОА-БИЛБОРДА</w:t>
      </w:r>
    </w:p>
    <w:p w:rsidR="005A53BB" w:rsidRDefault="005A53BB" w:rsidP="000C6F98">
      <w:pPr>
        <w:tabs>
          <w:tab w:val="left" w:pos="1134"/>
        </w:tabs>
        <w:jc w:val="both"/>
        <w:rPr>
          <w:lang w:val="sr-Cyrl-CS"/>
        </w:rPr>
      </w:pPr>
    </w:p>
    <w:p w:rsidR="005A53BB" w:rsidRPr="00AA261C" w:rsidRDefault="005A53BB" w:rsidP="000C6F98">
      <w:pPr>
        <w:numPr>
          <w:ilvl w:val="0"/>
          <w:numId w:val="1"/>
        </w:numPr>
        <w:tabs>
          <w:tab w:val="left" w:pos="1134"/>
        </w:tabs>
        <w:jc w:val="both"/>
        <w:rPr>
          <w:lang w:val="sr-Cyrl-CS"/>
        </w:rPr>
      </w:pPr>
      <w:proofErr w:type="spellStart"/>
      <w:r>
        <w:t>Постављање</w:t>
      </w:r>
      <w:proofErr w:type="spellEnd"/>
      <w:r>
        <w:t xml:space="preserve"> </w:t>
      </w:r>
      <w:proofErr w:type="spellStart"/>
      <w:r>
        <w:t>огласних</w:t>
      </w:r>
      <w:proofErr w:type="spellEnd"/>
      <w:r>
        <w:t xml:space="preserve"> </w:t>
      </w:r>
      <w:proofErr w:type="spellStart"/>
      <w:r>
        <w:t>паноа</w:t>
      </w:r>
      <w:proofErr w:type="spellEnd"/>
      <w:r>
        <w:t xml:space="preserve"> (</w:t>
      </w:r>
      <w:proofErr w:type="spellStart"/>
      <w:r>
        <w:t>билборда</w:t>
      </w:r>
      <w:proofErr w:type="spellEnd"/>
      <w:r>
        <w:t xml:space="preserve">) </w:t>
      </w:r>
      <w:proofErr w:type="spellStart"/>
      <w:r>
        <w:t>планирано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површинама</w:t>
      </w:r>
      <w:proofErr w:type="spellEnd"/>
      <w:r>
        <w:t xml:space="preserve">, </w:t>
      </w:r>
      <w:proofErr w:type="spellStart"/>
      <w:r>
        <w:t>сходно</w:t>
      </w:r>
      <w:proofErr w:type="spellEnd"/>
      <w:r>
        <w:t xml:space="preserve"> </w:t>
      </w:r>
      <w:proofErr w:type="spellStart"/>
      <w:r>
        <w:t>Плану</w:t>
      </w:r>
      <w:proofErr w:type="spellEnd"/>
      <w:r>
        <w:t xml:space="preserve"> </w:t>
      </w:r>
      <w:proofErr w:type="spellStart"/>
      <w:r>
        <w:t>постављања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оглашавање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r>
        <w:rPr>
          <w:lang w:val="sr-Cyrl-RS"/>
        </w:rPr>
        <w:t>Г</w:t>
      </w:r>
      <w:proofErr w:type="spellStart"/>
      <w:r>
        <w:t>рада</w:t>
      </w:r>
      <w:proofErr w:type="spellEnd"/>
      <w:r>
        <w:t xml:space="preserve"> </w:t>
      </w:r>
      <w:r>
        <w:rPr>
          <w:lang w:val="sr-Cyrl-RS"/>
        </w:rPr>
        <w:t>Кикинде</w:t>
      </w:r>
      <w:r>
        <w:t>, („</w:t>
      </w:r>
      <w:proofErr w:type="spellStart"/>
      <w:r>
        <w:t>Сл</w:t>
      </w:r>
      <w:proofErr w:type="spellEnd"/>
      <w:r>
        <w:rPr>
          <w:lang w:val="sr-Cyrl-RS"/>
        </w:rPr>
        <w:t>ужбени</w:t>
      </w:r>
      <w:r>
        <w:t xml:space="preserve"> </w:t>
      </w:r>
      <w:proofErr w:type="spellStart"/>
      <w:r>
        <w:t>лист</w:t>
      </w:r>
      <w:proofErr w:type="spellEnd"/>
      <w:r>
        <w:t xml:space="preserve"> </w:t>
      </w:r>
      <w:r>
        <w:rPr>
          <w:lang w:val="sr-Cyrl-RS"/>
        </w:rPr>
        <w:t>г</w:t>
      </w:r>
      <w:proofErr w:type="spellStart"/>
      <w:r>
        <w:t>рада</w:t>
      </w:r>
      <w:proofErr w:type="spellEnd"/>
      <w:r>
        <w:t xml:space="preserve"> </w:t>
      </w:r>
      <w:r>
        <w:rPr>
          <w:lang w:val="sr-Cyrl-RS"/>
        </w:rPr>
        <w:t>Кикинде</w:t>
      </w:r>
      <w:r>
        <w:t>“</w:t>
      </w:r>
      <w:r>
        <w:rPr>
          <w:lang w:val="sr-Cyrl-RS"/>
        </w:rPr>
        <w:t>,</w:t>
      </w:r>
      <w:r>
        <w:t xml:space="preserve"> </w:t>
      </w:r>
      <w:proofErr w:type="spellStart"/>
      <w:r>
        <w:t>број</w:t>
      </w:r>
      <w:proofErr w:type="spellEnd"/>
      <w:r>
        <w:t xml:space="preserve"> </w:t>
      </w:r>
      <w:r>
        <w:rPr>
          <w:lang w:val="sr-Cyrl-RS"/>
        </w:rPr>
        <w:t>2/2019</w:t>
      </w:r>
      <w:r w:rsidR="00A124A8">
        <w:rPr>
          <w:lang w:val="sr-Cyrl-RS"/>
        </w:rPr>
        <w:t>,</w:t>
      </w:r>
      <w:r>
        <w:rPr>
          <w:lang w:val="sr-Cyrl-RS"/>
        </w:rPr>
        <w:t xml:space="preserve"> 5/2019</w:t>
      </w:r>
      <w:r w:rsidR="00A124A8">
        <w:rPr>
          <w:lang w:val="sr-Cyrl-RS"/>
        </w:rPr>
        <w:t xml:space="preserve"> и 27/2019</w:t>
      </w:r>
      <w:r>
        <w:t xml:space="preserve">)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оглашавању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r>
        <w:rPr>
          <w:lang w:val="sr-Cyrl-RS"/>
        </w:rPr>
        <w:t>г</w:t>
      </w:r>
      <w:proofErr w:type="spellStart"/>
      <w:r>
        <w:t>рада</w:t>
      </w:r>
      <w:proofErr w:type="spellEnd"/>
      <w:r>
        <w:t xml:space="preserve"> </w:t>
      </w:r>
      <w:r>
        <w:rPr>
          <w:lang w:val="sr-Cyrl-RS"/>
        </w:rPr>
        <w:t>Кикинде</w:t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одобрења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издаје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предузеће</w:t>
      </w:r>
      <w:proofErr w:type="spellEnd"/>
      <w:r>
        <w:t xml:space="preserve"> </w:t>
      </w:r>
      <w:r>
        <w:rPr>
          <w:lang w:val="sr-Cyrl-RS"/>
        </w:rPr>
        <w:t>за комуналну инфрструктуру и услуге „Кикинда</w:t>
      </w:r>
      <w:proofErr w:type="gramStart"/>
      <w:r>
        <w:rPr>
          <w:lang w:val="sr-Cyrl-RS"/>
        </w:rPr>
        <w:t>“</w:t>
      </w:r>
      <w:r>
        <w:t xml:space="preserve"> (</w:t>
      </w:r>
      <w:proofErr w:type="gramEnd"/>
      <w:r>
        <w:t xml:space="preserve"> 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предузеће</w:t>
      </w:r>
      <w:proofErr w:type="spellEnd"/>
      <w:r>
        <w:t>).</w:t>
      </w:r>
    </w:p>
    <w:p w:rsidR="005A53BB" w:rsidRDefault="005A53BB" w:rsidP="000C6F98">
      <w:pPr>
        <w:tabs>
          <w:tab w:val="left" w:pos="1134"/>
        </w:tabs>
        <w:ind w:left="720"/>
        <w:jc w:val="both"/>
        <w:rPr>
          <w:lang w:val="sr-Cyrl-RS"/>
        </w:rPr>
      </w:pPr>
      <w:r>
        <w:rPr>
          <w:lang w:val="sr-Cyrl-RS"/>
        </w:rPr>
        <w:t>Након закључења уговора, стицалац је дужан да</w:t>
      </w:r>
      <w:r w:rsidR="00FC241D">
        <w:rPr>
          <w:lang w:val="sr-Cyrl-RS"/>
        </w:rPr>
        <w:t xml:space="preserve"> се</w:t>
      </w:r>
      <w:r>
        <w:rPr>
          <w:lang w:val="sr-Cyrl-RS"/>
        </w:rPr>
        <w:t xml:space="preserve"> у року од 8 дана  обрати </w:t>
      </w:r>
      <w:r w:rsidR="00454217" w:rsidRPr="001D7BC2">
        <w:rPr>
          <w:lang w:val="sr-Cyrl-CS"/>
        </w:rPr>
        <w:t>Ј</w:t>
      </w:r>
      <w:proofErr w:type="spellStart"/>
      <w:r w:rsidR="00454217" w:rsidRPr="001D7BC2">
        <w:t>авно</w:t>
      </w:r>
      <w:proofErr w:type="spellEnd"/>
      <w:r w:rsidR="00434BB6">
        <w:rPr>
          <w:lang w:val="sr-Cyrl-CS"/>
        </w:rPr>
        <w:t xml:space="preserve">м </w:t>
      </w:r>
      <w:r w:rsidR="00434BB6">
        <w:t xml:space="preserve"> </w:t>
      </w:r>
      <w:proofErr w:type="spellStart"/>
      <w:r w:rsidR="00434BB6">
        <w:t>предузећ</w:t>
      </w:r>
      <w:proofErr w:type="spellEnd"/>
      <w:r w:rsidR="00434BB6">
        <w:rPr>
          <w:lang w:val="sr-Cyrl-CS"/>
        </w:rPr>
        <w:t>у</w:t>
      </w:r>
      <w:r w:rsidR="00454217" w:rsidRPr="001D7BC2">
        <w:t xml:space="preserve"> </w:t>
      </w:r>
      <w:proofErr w:type="spellStart"/>
      <w:r w:rsidR="00454217" w:rsidRPr="001D7BC2">
        <w:t>за</w:t>
      </w:r>
      <w:proofErr w:type="spellEnd"/>
      <w:r w:rsidR="00454217" w:rsidRPr="001D7BC2">
        <w:t xml:space="preserve"> </w:t>
      </w:r>
      <w:proofErr w:type="spellStart"/>
      <w:r w:rsidR="00454217" w:rsidRPr="001D7BC2">
        <w:t>комуналну</w:t>
      </w:r>
      <w:proofErr w:type="spellEnd"/>
      <w:r w:rsidR="00454217" w:rsidRPr="001D7BC2">
        <w:t xml:space="preserve"> </w:t>
      </w:r>
      <w:proofErr w:type="spellStart"/>
      <w:r w:rsidR="00454217" w:rsidRPr="001D7BC2">
        <w:t>инфраструктуру</w:t>
      </w:r>
      <w:proofErr w:type="spellEnd"/>
      <w:r w:rsidR="00454217" w:rsidRPr="001D7BC2">
        <w:t xml:space="preserve"> и </w:t>
      </w:r>
      <w:proofErr w:type="spellStart"/>
      <w:r w:rsidR="00454217" w:rsidRPr="001D7BC2">
        <w:t>услуге</w:t>
      </w:r>
      <w:proofErr w:type="spellEnd"/>
      <w:r w:rsidR="00454217" w:rsidRPr="001D7BC2">
        <w:t xml:space="preserve"> „</w:t>
      </w:r>
      <w:proofErr w:type="spellStart"/>
      <w:r w:rsidR="00454217" w:rsidRPr="001D7BC2">
        <w:t>Кикинда</w:t>
      </w:r>
      <w:proofErr w:type="spellEnd"/>
      <w:r w:rsidR="00454217" w:rsidRPr="001D7BC2">
        <w:t>“</w:t>
      </w:r>
      <w:r w:rsidR="00454217" w:rsidRPr="001D7BC2">
        <w:rPr>
          <w:lang w:val="sr-Cyrl-CS"/>
        </w:rPr>
        <w:t xml:space="preserve"> из Кикинде,</w:t>
      </w:r>
      <w:r w:rsidR="00454217" w:rsidRPr="00454217">
        <w:rPr>
          <w:lang w:val="sr-Cyrl-CS"/>
        </w:rPr>
        <w:t xml:space="preserve"> </w:t>
      </w:r>
      <w:r>
        <w:rPr>
          <w:lang w:val="sr-Cyrl-RS"/>
        </w:rPr>
        <w:t>ради издавања појединачних урбанистичких услова и издавање одобрења за постављање средстава за оглашавање.</w:t>
      </w:r>
    </w:p>
    <w:p w:rsidR="005A53BB" w:rsidRPr="00774D3E" w:rsidRDefault="005A53BB" w:rsidP="000C6F98">
      <w:pPr>
        <w:tabs>
          <w:tab w:val="left" w:pos="1134"/>
        </w:tabs>
        <w:ind w:left="720"/>
        <w:jc w:val="both"/>
        <w:rPr>
          <w:lang w:val="sr-Cyrl-CS"/>
        </w:rPr>
      </w:pPr>
    </w:p>
    <w:p w:rsidR="005A53BB" w:rsidRPr="00FA7141" w:rsidRDefault="005A53BB" w:rsidP="000C6F98">
      <w:pPr>
        <w:numPr>
          <w:ilvl w:val="0"/>
          <w:numId w:val="1"/>
        </w:numPr>
        <w:tabs>
          <w:tab w:val="left" w:pos="1134"/>
        </w:tabs>
        <w:jc w:val="both"/>
        <w:rPr>
          <w:lang w:val="sr-Cyrl-CS"/>
        </w:rPr>
      </w:pPr>
      <w:r>
        <w:rPr>
          <w:lang w:val="sr-Cyrl-RS"/>
        </w:rPr>
        <w:t>Делови јавне површине који се дају на коришћење располажу нисконапонском мрежом електричне енергије која је неопходна за несметано функционисање билборда.</w:t>
      </w:r>
    </w:p>
    <w:p w:rsidR="005A53BB" w:rsidRPr="00774D3E" w:rsidRDefault="005A53BB" w:rsidP="000C6F98">
      <w:pPr>
        <w:tabs>
          <w:tab w:val="left" w:pos="1134"/>
        </w:tabs>
        <w:ind w:left="720"/>
        <w:jc w:val="both"/>
        <w:rPr>
          <w:lang w:val="sr-Cyrl-CS"/>
        </w:rPr>
      </w:pPr>
    </w:p>
    <w:p w:rsidR="005A53BB" w:rsidRPr="00FA7141" w:rsidRDefault="005A53BB" w:rsidP="000C6F98">
      <w:pPr>
        <w:numPr>
          <w:ilvl w:val="0"/>
          <w:numId w:val="1"/>
        </w:numPr>
        <w:tabs>
          <w:tab w:val="left" w:pos="1134"/>
        </w:tabs>
        <w:jc w:val="both"/>
        <w:rPr>
          <w:lang w:val="sr-Cyrl-CS"/>
        </w:rPr>
      </w:pPr>
      <w:r>
        <w:rPr>
          <w:lang w:val="sr-Cyrl-RS"/>
        </w:rPr>
        <w:t xml:space="preserve">Трошкове прикључења на нисконапонску мрежу као и прибављања одобрења за </w:t>
      </w:r>
      <w:r w:rsidRPr="00F72485">
        <w:rPr>
          <w:lang w:val="sr-Cyrl-RS"/>
        </w:rPr>
        <w:t>постављање</w:t>
      </w:r>
      <w:r>
        <w:rPr>
          <w:lang w:val="sr-Cyrl-RS"/>
        </w:rPr>
        <w:t xml:space="preserve"> билборда сноси стицалац права.</w:t>
      </w:r>
    </w:p>
    <w:p w:rsidR="005A53BB" w:rsidRDefault="005A53BB" w:rsidP="000C6F98">
      <w:pPr>
        <w:pStyle w:val="ListParagraph"/>
        <w:tabs>
          <w:tab w:val="left" w:pos="1134"/>
        </w:tabs>
        <w:jc w:val="both"/>
        <w:rPr>
          <w:lang w:val="sr-Cyrl-CS"/>
        </w:rPr>
      </w:pPr>
    </w:p>
    <w:p w:rsidR="005A53BB" w:rsidRDefault="005A53BB" w:rsidP="000C6F98">
      <w:pPr>
        <w:numPr>
          <w:ilvl w:val="0"/>
          <w:numId w:val="1"/>
        </w:num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>Делови јавне површине предвиђени за постављање билборда дају се на коришћење са роком трајања 5 година о дана закључења уговора из тачке 13.</w:t>
      </w:r>
    </w:p>
    <w:p w:rsidR="005A53BB" w:rsidRDefault="005A53BB" w:rsidP="000C6F98">
      <w:pPr>
        <w:pStyle w:val="ListParagraph"/>
        <w:tabs>
          <w:tab w:val="left" w:pos="1134"/>
        </w:tabs>
        <w:jc w:val="both"/>
        <w:rPr>
          <w:lang w:val="sr-Cyrl-CS"/>
        </w:rPr>
      </w:pPr>
    </w:p>
    <w:p w:rsidR="005A53BB" w:rsidRDefault="005A53BB" w:rsidP="000C6F98">
      <w:pPr>
        <w:numPr>
          <w:ilvl w:val="0"/>
          <w:numId w:val="1"/>
        </w:num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>Почетни износ једнократне накнаде за стицање права на привремено коришћење јавне површине за постављање билборда утврђује се овом одлуком, а налази се у табели у прилогу.</w:t>
      </w:r>
    </w:p>
    <w:p w:rsidR="005A53BB" w:rsidRDefault="005A53BB" w:rsidP="000C6F98">
      <w:pPr>
        <w:pStyle w:val="ListParagraph"/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>Поред једнократне накнаде из става 1. ове тачке, стицалац је у обавези да уредно плаћа месечну накнаду за постављање средства за оглашавање у складу са одлуком управљача локалних путева којом су прописане ове накнаде.</w:t>
      </w:r>
    </w:p>
    <w:p w:rsidR="005A53BB" w:rsidRDefault="005A53BB" w:rsidP="000C6F98">
      <w:pPr>
        <w:pStyle w:val="ListParagraph"/>
        <w:tabs>
          <w:tab w:val="left" w:pos="1134"/>
        </w:tabs>
        <w:jc w:val="both"/>
        <w:rPr>
          <w:lang w:val="sr-Cyrl-CS"/>
        </w:rPr>
      </w:pPr>
    </w:p>
    <w:p w:rsidR="005A53BB" w:rsidRPr="00044940" w:rsidRDefault="005A53BB" w:rsidP="00044940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lang w:val="sr-Cyrl-CS"/>
        </w:rPr>
      </w:pPr>
      <w:proofErr w:type="spellStart"/>
      <w:r>
        <w:t>Учесници</w:t>
      </w:r>
      <w:proofErr w:type="spellEnd"/>
      <w:r>
        <w:t xml:space="preserve"> у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 </w:t>
      </w:r>
      <w:proofErr w:type="spellStart"/>
      <w:r>
        <w:t>дужни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уплате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јемства</w:t>
      </w:r>
      <w:proofErr w:type="spellEnd"/>
      <w:r>
        <w:t xml:space="preserve"> 30 %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висине</w:t>
      </w:r>
      <w:proofErr w:type="spellEnd"/>
      <w:r>
        <w:t xml:space="preserve"> </w:t>
      </w:r>
      <w:proofErr w:type="spellStart"/>
      <w:r>
        <w:t>почетног</w:t>
      </w:r>
      <w:proofErr w:type="spellEnd"/>
      <w:r>
        <w:t xml:space="preserve"> </w:t>
      </w:r>
      <w:proofErr w:type="spellStart"/>
      <w:r>
        <w:t>износа</w:t>
      </w:r>
      <w:proofErr w:type="spellEnd"/>
      <w:r>
        <w:t xml:space="preserve"> </w:t>
      </w:r>
      <w:proofErr w:type="spellStart"/>
      <w:r>
        <w:t>једнократне</w:t>
      </w:r>
      <w:proofErr w:type="spellEnd"/>
      <w:r>
        <w:t xml:space="preserve"> </w:t>
      </w:r>
      <w:proofErr w:type="spellStart"/>
      <w:r>
        <w:t>накнаде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r>
        <w:rPr>
          <w:lang w:val="sr-Cyrl-RS"/>
        </w:rPr>
        <w:t>Кикинде</w:t>
      </w:r>
      <w:r>
        <w:t xml:space="preserve"> </w:t>
      </w:r>
      <w:proofErr w:type="spellStart"/>
      <w:r>
        <w:t>број</w:t>
      </w:r>
      <w:proofErr w:type="spellEnd"/>
      <w:r>
        <w:t xml:space="preserve"> </w:t>
      </w:r>
      <w:r w:rsidRPr="00454609">
        <w:rPr>
          <w:lang w:val="sr-Cyrl-RS"/>
        </w:rPr>
        <w:t>840</w:t>
      </w:r>
      <w:r w:rsidRPr="00454609">
        <w:rPr>
          <w:lang w:val="en-US"/>
        </w:rPr>
        <w:t>-2023740-41</w:t>
      </w:r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позивом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r w:rsidRPr="00454609">
        <w:rPr>
          <w:lang w:val="en-US"/>
        </w:rPr>
        <w:t>35-215</w:t>
      </w:r>
      <w:r>
        <w:t xml:space="preserve"> </w:t>
      </w:r>
      <w:proofErr w:type="spellStart"/>
      <w:r>
        <w:t>модел</w:t>
      </w:r>
      <w:proofErr w:type="spellEnd"/>
      <w:r>
        <w:t xml:space="preserve"> 97, </w:t>
      </w:r>
      <w:proofErr w:type="spellStart"/>
      <w:r>
        <w:t>најкасније</w:t>
      </w:r>
      <w:proofErr w:type="spellEnd"/>
      <w:r>
        <w:t xml:space="preserve"> 3(</w:t>
      </w:r>
      <w:proofErr w:type="spellStart"/>
      <w:r>
        <w:t>три</w:t>
      </w:r>
      <w:proofErr w:type="spellEnd"/>
      <w:r>
        <w:t xml:space="preserve">)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почетка</w:t>
      </w:r>
      <w:proofErr w:type="spellEnd"/>
      <w:r>
        <w:t xml:space="preserve"> </w:t>
      </w:r>
      <w:proofErr w:type="spellStart"/>
      <w:r>
        <w:t>лицитације</w:t>
      </w:r>
      <w:proofErr w:type="spellEnd"/>
      <w:r>
        <w:t xml:space="preserve">. </w:t>
      </w:r>
      <w:proofErr w:type="spellStart"/>
      <w:r>
        <w:t>Уплата</w:t>
      </w:r>
      <w:proofErr w:type="spellEnd"/>
      <w:r>
        <w:t xml:space="preserve"> </w:t>
      </w:r>
      <w:proofErr w:type="spellStart"/>
      <w:r>
        <w:t>јемства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сваку</w:t>
      </w:r>
      <w:proofErr w:type="spellEnd"/>
      <w:r>
        <w:t xml:space="preserve"> </w:t>
      </w:r>
      <w:proofErr w:type="spellStart"/>
      <w:r>
        <w:t>локацију</w:t>
      </w:r>
      <w:proofErr w:type="spellEnd"/>
      <w:r>
        <w:t xml:space="preserve">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учесник</w:t>
      </w:r>
      <w:proofErr w:type="spellEnd"/>
      <w:r>
        <w:t xml:space="preserve"> </w:t>
      </w:r>
      <w:proofErr w:type="spellStart"/>
      <w:r>
        <w:t>конкурише</w:t>
      </w:r>
      <w:proofErr w:type="spellEnd"/>
      <w:r>
        <w:t>.</w:t>
      </w:r>
    </w:p>
    <w:p w:rsidR="00044940" w:rsidRPr="00044940" w:rsidRDefault="00044940" w:rsidP="00044940">
      <w:pPr>
        <w:pStyle w:val="ListParagraph"/>
        <w:tabs>
          <w:tab w:val="left" w:pos="1134"/>
        </w:tabs>
        <w:jc w:val="both"/>
        <w:rPr>
          <w:lang w:val="sr-Cyrl-CS"/>
        </w:rPr>
      </w:pPr>
    </w:p>
    <w:p w:rsidR="005A53BB" w:rsidRPr="000C6F98" w:rsidRDefault="005A53BB" w:rsidP="000C6F98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lang w:val="sr-Cyrl-CS"/>
        </w:rPr>
      </w:pPr>
      <w:proofErr w:type="spellStart"/>
      <w:r>
        <w:lastRenderedPageBreak/>
        <w:t>Учесник</w:t>
      </w:r>
      <w:proofErr w:type="spellEnd"/>
      <w:r>
        <w:t xml:space="preserve"> у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оствари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постављање</w:t>
      </w:r>
      <w:proofErr w:type="spellEnd"/>
      <w:r>
        <w:t xml:space="preserve"> </w:t>
      </w:r>
      <w:proofErr w:type="spellStart"/>
      <w:r>
        <w:t>билборда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билборде</w:t>
      </w:r>
      <w:proofErr w:type="spellEnd"/>
      <w:r>
        <w:t xml:space="preserve"> </w:t>
      </w:r>
      <w:proofErr w:type="spellStart"/>
      <w:r>
        <w:t>предвиђене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ту</w:t>
      </w:r>
      <w:proofErr w:type="spellEnd"/>
      <w:r>
        <w:t xml:space="preserve"> </w:t>
      </w:r>
      <w:proofErr w:type="spellStart"/>
      <w:r>
        <w:t>локацију</w:t>
      </w:r>
      <w:proofErr w:type="spellEnd"/>
      <w:r>
        <w:t xml:space="preserve"> </w:t>
      </w:r>
      <w:proofErr w:type="spellStart"/>
      <w:r>
        <w:t>постави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r w:rsidRPr="000C6F98">
        <w:rPr>
          <w:lang w:val="sr-Cyrl-RS"/>
        </w:rPr>
        <w:t>одређеним одобрењем Јавног предузећа</w:t>
      </w:r>
      <w:r>
        <w:t xml:space="preserve">. </w:t>
      </w:r>
    </w:p>
    <w:p w:rsidR="005A53BB" w:rsidRDefault="005A53BB" w:rsidP="000C6F98">
      <w:pPr>
        <w:pStyle w:val="ListParagraph"/>
        <w:tabs>
          <w:tab w:val="left" w:pos="1134"/>
        </w:tabs>
        <w:jc w:val="both"/>
        <w:rPr>
          <w:lang w:val="en-US"/>
        </w:rPr>
      </w:pPr>
      <w:proofErr w:type="spellStart"/>
      <w:proofErr w:type="gramStart"/>
      <w:r>
        <w:t>Прикључење</w:t>
      </w:r>
      <w:proofErr w:type="spellEnd"/>
      <w:r>
        <w:t xml:space="preserve"> </w:t>
      </w:r>
      <w:proofErr w:type="spellStart"/>
      <w:r>
        <w:t>огласне</w:t>
      </w:r>
      <w:proofErr w:type="spellEnd"/>
      <w:r>
        <w:t xml:space="preserve"> </w:t>
      </w:r>
      <w:proofErr w:type="spellStart"/>
      <w:r>
        <w:t>табле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стубове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расвете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нисконапонско</w:t>
      </w:r>
      <w:proofErr w:type="spellEnd"/>
      <w:r>
        <w:t xml:space="preserve"> </w:t>
      </w:r>
      <w:proofErr w:type="spellStart"/>
      <w:r>
        <w:t>напајање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rPr>
          <w:lang w:val="sr-Cyrl-RS"/>
        </w:rPr>
        <w:t>.</w:t>
      </w:r>
      <w:proofErr w:type="gramEnd"/>
    </w:p>
    <w:p w:rsidR="000C6F98" w:rsidRDefault="000C6F98" w:rsidP="000C6F98">
      <w:pPr>
        <w:pStyle w:val="ListParagraph"/>
        <w:tabs>
          <w:tab w:val="left" w:pos="1134"/>
        </w:tabs>
        <w:jc w:val="both"/>
        <w:rPr>
          <w:lang w:val="en-US"/>
        </w:rPr>
      </w:pPr>
    </w:p>
    <w:p w:rsidR="000C6F98" w:rsidRPr="000C6F98" w:rsidRDefault="000C6F98" w:rsidP="000C6F98">
      <w:pPr>
        <w:pStyle w:val="ListParagraph"/>
        <w:tabs>
          <w:tab w:val="left" w:pos="1134"/>
        </w:tabs>
        <w:jc w:val="both"/>
        <w:rPr>
          <w:lang w:val="en-US"/>
        </w:rPr>
      </w:pPr>
    </w:p>
    <w:p w:rsidR="005A53BB" w:rsidRDefault="005A53BB" w:rsidP="000C6F98">
      <w:pPr>
        <w:pStyle w:val="ListParagraph"/>
        <w:tabs>
          <w:tab w:val="left" w:pos="1134"/>
        </w:tabs>
        <w:jc w:val="both"/>
        <w:rPr>
          <w:lang w:val="sr-Cyrl-RS"/>
        </w:rPr>
      </w:pPr>
    </w:p>
    <w:p w:rsidR="005A53BB" w:rsidRPr="00BC2003" w:rsidRDefault="005A53BB" w:rsidP="000C6F98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lang w:val="sr-Cyrl-RS"/>
        </w:rPr>
      </w:pPr>
      <w:proofErr w:type="spellStart"/>
      <w:r w:rsidRPr="00BC2003">
        <w:t>Билборди</w:t>
      </w:r>
      <w:proofErr w:type="spellEnd"/>
      <w:r w:rsidRPr="00BC2003">
        <w:t xml:space="preserve"> </w:t>
      </w:r>
      <w:proofErr w:type="spellStart"/>
      <w:r w:rsidRPr="00BC2003">
        <w:t>се</w:t>
      </w:r>
      <w:proofErr w:type="spellEnd"/>
      <w:r w:rsidRPr="00BC2003">
        <w:t xml:space="preserve"> </w:t>
      </w:r>
      <w:proofErr w:type="spellStart"/>
      <w:r w:rsidRPr="00BC2003">
        <w:t>постављају</w:t>
      </w:r>
      <w:proofErr w:type="spellEnd"/>
      <w:r w:rsidRPr="00BC2003">
        <w:t xml:space="preserve"> у </w:t>
      </w:r>
      <w:proofErr w:type="spellStart"/>
      <w:r w:rsidRPr="00BC2003">
        <w:t>складу</w:t>
      </w:r>
      <w:proofErr w:type="spellEnd"/>
      <w:r w:rsidRPr="00BC2003">
        <w:t xml:space="preserve"> </w:t>
      </w:r>
      <w:proofErr w:type="spellStart"/>
      <w:r w:rsidRPr="00BC2003">
        <w:t>са</w:t>
      </w:r>
      <w:proofErr w:type="spellEnd"/>
      <w:r w:rsidRPr="00BC2003">
        <w:t xml:space="preserve"> </w:t>
      </w:r>
      <w:proofErr w:type="spellStart"/>
      <w:r w:rsidRPr="00BC2003">
        <w:t>Планом</w:t>
      </w:r>
      <w:proofErr w:type="spellEnd"/>
      <w:r w:rsidRPr="00BC2003">
        <w:t xml:space="preserve"> </w:t>
      </w:r>
      <w:proofErr w:type="spellStart"/>
      <w:r w:rsidRPr="00BC2003">
        <w:t>постављања</w:t>
      </w:r>
      <w:proofErr w:type="spellEnd"/>
      <w:r w:rsidRPr="00BC2003">
        <w:t xml:space="preserve"> </w:t>
      </w:r>
      <w:proofErr w:type="spellStart"/>
      <w:r w:rsidRPr="00BC2003">
        <w:t>средстава</w:t>
      </w:r>
      <w:proofErr w:type="spellEnd"/>
      <w:r w:rsidRPr="00BC2003">
        <w:t xml:space="preserve"> </w:t>
      </w:r>
      <w:proofErr w:type="spellStart"/>
      <w:r w:rsidRPr="00BC2003">
        <w:t>за</w:t>
      </w:r>
      <w:proofErr w:type="spellEnd"/>
      <w:r w:rsidRPr="00BC2003">
        <w:t xml:space="preserve"> </w:t>
      </w:r>
      <w:proofErr w:type="spellStart"/>
      <w:r w:rsidRPr="00BC2003">
        <w:t>оглашавање</w:t>
      </w:r>
      <w:proofErr w:type="spellEnd"/>
      <w:r w:rsidRPr="00BC2003">
        <w:t xml:space="preserve"> </w:t>
      </w:r>
      <w:proofErr w:type="spellStart"/>
      <w:r w:rsidRPr="00BC2003">
        <w:t>на</w:t>
      </w:r>
      <w:proofErr w:type="spellEnd"/>
      <w:r w:rsidRPr="00BC2003">
        <w:t xml:space="preserve"> </w:t>
      </w:r>
      <w:proofErr w:type="spellStart"/>
      <w:r w:rsidRPr="00BC2003">
        <w:t>територији</w:t>
      </w:r>
      <w:proofErr w:type="spellEnd"/>
      <w:r w:rsidRPr="00BC2003">
        <w:t xml:space="preserve"> </w:t>
      </w:r>
      <w:proofErr w:type="spellStart"/>
      <w:r w:rsidRPr="00BC2003">
        <w:t>Града</w:t>
      </w:r>
      <w:proofErr w:type="spellEnd"/>
      <w:r w:rsidRPr="00BC2003">
        <w:t xml:space="preserve"> </w:t>
      </w:r>
      <w:r w:rsidRPr="00BC2003">
        <w:rPr>
          <w:lang w:val="sr-Cyrl-RS"/>
        </w:rPr>
        <w:t>Кикинде</w:t>
      </w:r>
      <w:r w:rsidRPr="00BC2003">
        <w:t xml:space="preserve"> и </w:t>
      </w:r>
      <w:proofErr w:type="spellStart"/>
      <w:r w:rsidRPr="00BC2003">
        <w:t>урбанистичким</w:t>
      </w:r>
      <w:proofErr w:type="spellEnd"/>
      <w:r w:rsidRPr="00BC2003">
        <w:t xml:space="preserve"> </w:t>
      </w:r>
      <w:proofErr w:type="spellStart"/>
      <w:r w:rsidRPr="00BC2003">
        <w:t>условима</w:t>
      </w:r>
      <w:proofErr w:type="spellEnd"/>
      <w:r w:rsidRPr="00BC2003">
        <w:t xml:space="preserve"> </w:t>
      </w:r>
      <w:proofErr w:type="spellStart"/>
      <w:r w:rsidRPr="00BC2003">
        <w:t>издатим</w:t>
      </w:r>
      <w:proofErr w:type="spellEnd"/>
      <w:r w:rsidRPr="00BC2003">
        <w:t xml:space="preserve"> </w:t>
      </w:r>
      <w:proofErr w:type="spellStart"/>
      <w:r w:rsidRPr="00BC2003">
        <w:t>од</w:t>
      </w:r>
      <w:proofErr w:type="spellEnd"/>
      <w:r w:rsidRPr="00BC2003">
        <w:t xml:space="preserve"> </w:t>
      </w:r>
      <w:proofErr w:type="spellStart"/>
      <w:r w:rsidRPr="00BC2003">
        <w:t>стране</w:t>
      </w:r>
      <w:proofErr w:type="spellEnd"/>
      <w:r w:rsidRPr="00BC2003">
        <w:t xml:space="preserve"> </w:t>
      </w:r>
      <w:proofErr w:type="spellStart"/>
      <w:r w:rsidRPr="00BC2003">
        <w:t>Јавног</w:t>
      </w:r>
      <w:proofErr w:type="spellEnd"/>
      <w:r w:rsidRPr="00BC2003">
        <w:t xml:space="preserve"> </w:t>
      </w:r>
      <w:proofErr w:type="spellStart"/>
      <w:r w:rsidRPr="00BC2003">
        <w:t>предузећа</w:t>
      </w:r>
      <w:proofErr w:type="spellEnd"/>
      <w:r w:rsidRPr="00BC2003">
        <w:t xml:space="preserve"> </w:t>
      </w:r>
      <w:proofErr w:type="spellStart"/>
      <w:r w:rsidRPr="00BC2003">
        <w:t>којима</w:t>
      </w:r>
      <w:proofErr w:type="spellEnd"/>
      <w:r w:rsidRPr="00BC2003">
        <w:t xml:space="preserve"> </w:t>
      </w:r>
      <w:proofErr w:type="spellStart"/>
      <w:r w:rsidRPr="00BC2003">
        <w:t>ће</w:t>
      </w:r>
      <w:proofErr w:type="spellEnd"/>
      <w:r w:rsidRPr="00BC2003">
        <w:t xml:space="preserve"> </w:t>
      </w:r>
      <w:proofErr w:type="spellStart"/>
      <w:r w:rsidRPr="00BC2003">
        <w:t>бити</w:t>
      </w:r>
      <w:proofErr w:type="spellEnd"/>
      <w:r w:rsidRPr="00BC2003">
        <w:t xml:space="preserve"> </w:t>
      </w:r>
      <w:proofErr w:type="spellStart"/>
      <w:r w:rsidRPr="00BC2003">
        <w:t>дефинисан</w:t>
      </w:r>
      <w:proofErr w:type="spellEnd"/>
      <w:r w:rsidRPr="00BC2003">
        <w:t xml:space="preserve"> </w:t>
      </w:r>
      <w:proofErr w:type="spellStart"/>
      <w:r w:rsidRPr="00BC2003">
        <w:t>тачан</w:t>
      </w:r>
      <w:proofErr w:type="spellEnd"/>
      <w:r w:rsidRPr="00BC2003">
        <w:t xml:space="preserve"> </w:t>
      </w:r>
      <w:proofErr w:type="spellStart"/>
      <w:r w:rsidRPr="00BC2003">
        <w:t>положај</w:t>
      </w:r>
      <w:proofErr w:type="spellEnd"/>
      <w:r w:rsidRPr="00BC2003">
        <w:t xml:space="preserve"> </w:t>
      </w:r>
      <w:proofErr w:type="spellStart"/>
      <w:r w:rsidRPr="00BC2003">
        <w:t>билборда</w:t>
      </w:r>
      <w:proofErr w:type="spellEnd"/>
      <w:r w:rsidRPr="00BC2003">
        <w:t>.</w:t>
      </w:r>
    </w:p>
    <w:p w:rsidR="005A53BB" w:rsidRPr="00BC2003" w:rsidRDefault="005A53BB" w:rsidP="000C6F98">
      <w:pPr>
        <w:pStyle w:val="ListParagraph"/>
        <w:tabs>
          <w:tab w:val="left" w:pos="1134"/>
        </w:tabs>
        <w:jc w:val="both"/>
        <w:rPr>
          <w:lang w:val="sr-Cyrl-RS"/>
        </w:rPr>
      </w:pPr>
    </w:p>
    <w:p w:rsidR="005A53BB" w:rsidRDefault="005A53BB" w:rsidP="000C6F98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lang w:val="sr-Cyrl-RS"/>
        </w:rPr>
      </w:pPr>
      <w:proofErr w:type="spellStart"/>
      <w:r>
        <w:t>Учесницима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успели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понудама</w:t>
      </w:r>
      <w:proofErr w:type="spellEnd"/>
      <w:r>
        <w:t xml:space="preserve"> (</w:t>
      </w:r>
      <w:proofErr w:type="spellStart"/>
      <w:r>
        <w:t>изузев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понудило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 xml:space="preserve"> </w:t>
      </w:r>
      <w:proofErr w:type="spellStart"/>
      <w:r>
        <w:t>највећи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којем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r>
        <w:rPr>
          <w:lang w:val="sr-Cyrl-RS"/>
        </w:rPr>
        <w:t xml:space="preserve">уплаћени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вратити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закључења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)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уплаћен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јемства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вратити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спроведеног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у </w:t>
      </w:r>
      <w:proofErr w:type="spellStart"/>
      <w:r>
        <w:t>номиналном</w:t>
      </w:r>
      <w:proofErr w:type="spellEnd"/>
      <w:r>
        <w:t xml:space="preserve"> </w:t>
      </w:r>
      <w:proofErr w:type="spellStart"/>
      <w:r>
        <w:t>износу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учесник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приступи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одустане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.</w:t>
      </w:r>
    </w:p>
    <w:p w:rsidR="005A53BB" w:rsidRDefault="005A53BB" w:rsidP="000C6F98">
      <w:pPr>
        <w:pStyle w:val="ListParagraph"/>
        <w:tabs>
          <w:tab w:val="left" w:pos="1134"/>
        </w:tabs>
        <w:rPr>
          <w:lang w:val="sr-Cyrl-RS"/>
        </w:rPr>
      </w:pPr>
    </w:p>
    <w:p w:rsidR="005A53BB" w:rsidRDefault="005A53BB" w:rsidP="000C6F98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lang w:val="sr-Cyrl-RS"/>
        </w:rPr>
      </w:pPr>
      <w:proofErr w:type="spellStart"/>
      <w:r>
        <w:t>По</w:t>
      </w:r>
      <w:proofErr w:type="spellEnd"/>
      <w:r>
        <w:t xml:space="preserve"> </w:t>
      </w:r>
      <w:proofErr w:type="spellStart"/>
      <w:r>
        <w:t>окончаном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, </w:t>
      </w:r>
      <w:proofErr w:type="spellStart"/>
      <w:r>
        <w:t>Градоначелник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r>
        <w:rPr>
          <w:lang w:val="sr-Cyrl-RS"/>
        </w:rPr>
        <w:t>Кикинде</w:t>
      </w:r>
      <w:r>
        <w:t xml:space="preserve">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о </w:t>
      </w:r>
      <w:proofErr w:type="spellStart"/>
      <w:r>
        <w:t>стицању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привремено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површине</w:t>
      </w:r>
      <w:proofErr w:type="spellEnd"/>
    </w:p>
    <w:p w:rsidR="005A53BB" w:rsidRDefault="005A53BB" w:rsidP="000C6F98">
      <w:pPr>
        <w:pStyle w:val="ListParagraph"/>
        <w:tabs>
          <w:tab w:val="left" w:pos="1134"/>
        </w:tabs>
        <w:rPr>
          <w:lang w:val="sr-Cyrl-RS"/>
        </w:rPr>
      </w:pPr>
    </w:p>
    <w:p w:rsidR="005A53BB" w:rsidRDefault="005A53BB" w:rsidP="000C6F98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lang w:val="sr-Cyrl-RS"/>
        </w:rPr>
      </w:pPr>
      <w:proofErr w:type="spellStart"/>
      <w:r>
        <w:t>Одлука</w:t>
      </w:r>
      <w:proofErr w:type="spellEnd"/>
      <w:r>
        <w:t xml:space="preserve"> о </w:t>
      </w:r>
      <w:proofErr w:type="spellStart"/>
      <w:r>
        <w:t>стицању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привремено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учесницима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поуком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подношења</w:t>
      </w:r>
      <w:proofErr w:type="spellEnd"/>
      <w:r>
        <w:t xml:space="preserve"> </w:t>
      </w:r>
      <w:proofErr w:type="spellStart"/>
      <w:r>
        <w:t>приговора</w:t>
      </w:r>
      <w:proofErr w:type="spellEnd"/>
      <w:r>
        <w:t xml:space="preserve"> </w:t>
      </w:r>
      <w:proofErr w:type="spellStart"/>
      <w:r>
        <w:t>Градоначелнику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r>
        <w:rPr>
          <w:lang w:val="sr-Cyrl-CS"/>
        </w:rPr>
        <w:t xml:space="preserve">Кикинде </w:t>
      </w:r>
      <w:r>
        <w:t xml:space="preserve">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>.</w:t>
      </w:r>
    </w:p>
    <w:p w:rsidR="005A53BB" w:rsidRDefault="005A53BB" w:rsidP="000C6F98">
      <w:pPr>
        <w:pStyle w:val="ListParagraph"/>
        <w:tabs>
          <w:tab w:val="left" w:pos="1134"/>
        </w:tabs>
        <w:ind w:left="0" w:firstLine="720"/>
        <w:jc w:val="both"/>
        <w:rPr>
          <w:lang w:val="sr-Cyrl-RS"/>
        </w:rPr>
      </w:pPr>
      <w:proofErr w:type="spellStart"/>
      <w:proofErr w:type="gramStart"/>
      <w:r>
        <w:t>По</w:t>
      </w:r>
      <w:proofErr w:type="spellEnd"/>
      <w:r>
        <w:t xml:space="preserve"> </w:t>
      </w:r>
      <w:proofErr w:type="spellStart"/>
      <w:r>
        <w:t>поднетом</w:t>
      </w:r>
      <w:proofErr w:type="spellEnd"/>
      <w:r>
        <w:t xml:space="preserve"> </w:t>
      </w:r>
      <w:proofErr w:type="spellStart"/>
      <w:r>
        <w:t>приговору</w:t>
      </w:r>
      <w:proofErr w:type="spellEnd"/>
      <w:r>
        <w:t xml:space="preserve">, </w:t>
      </w:r>
      <w:proofErr w:type="spellStart"/>
      <w:r>
        <w:t>Градоначелник</w:t>
      </w:r>
      <w:proofErr w:type="spellEnd"/>
      <w:r>
        <w:t xml:space="preserve"> </w:t>
      </w:r>
      <w:proofErr w:type="spellStart"/>
      <w:r>
        <w:t>одлучује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8 </w:t>
      </w:r>
      <w:proofErr w:type="spellStart"/>
      <w:r>
        <w:t>дана</w:t>
      </w:r>
      <w:proofErr w:type="spellEnd"/>
      <w:r>
        <w:t>.</w:t>
      </w:r>
      <w:proofErr w:type="gramEnd"/>
    </w:p>
    <w:p w:rsidR="005A53BB" w:rsidRPr="00CB36DB" w:rsidRDefault="005A53BB" w:rsidP="000C6F98">
      <w:pPr>
        <w:pStyle w:val="ListParagraph"/>
        <w:tabs>
          <w:tab w:val="left" w:pos="1134"/>
        </w:tabs>
        <w:ind w:left="0" w:firstLine="720"/>
        <w:jc w:val="both"/>
        <w:rPr>
          <w:lang w:val="sr-Cyrl-RS"/>
        </w:rPr>
      </w:pPr>
    </w:p>
    <w:p w:rsidR="005A53BB" w:rsidRDefault="005A53BB" w:rsidP="000C6F98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lang w:val="sr-Cyrl-RS"/>
        </w:rPr>
      </w:pPr>
      <w:proofErr w:type="spellStart"/>
      <w:r>
        <w:t>Учесник</w:t>
      </w:r>
      <w:proofErr w:type="spellEnd"/>
      <w:r>
        <w:t xml:space="preserve"> у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 </w:t>
      </w:r>
      <w:proofErr w:type="spellStart"/>
      <w:r>
        <w:t>чија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прихваћена</w:t>
      </w:r>
      <w:proofErr w:type="spellEnd"/>
      <w:r>
        <w:t xml:space="preserve">,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једнократну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стицање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привремено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 xml:space="preserve"> </w:t>
      </w:r>
      <w:proofErr w:type="spellStart"/>
      <w:r>
        <w:t>умањену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уплаћени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депозита</w:t>
      </w:r>
      <w:proofErr w:type="spellEnd"/>
      <w:r>
        <w:t xml:space="preserve"> </w:t>
      </w:r>
      <w:proofErr w:type="spellStart"/>
      <w:r>
        <w:t>уплати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коначности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тачке</w:t>
      </w:r>
      <w:proofErr w:type="spellEnd"/>
      <w:r>
        <w:t xml:space="preserve"> </w:t>
      </w:r>
      <w:r>
        <w:rPr>
          <w:lang w:val="sr-Cyrl-RS"/>
        </w:rPr>
        <w:t>10.</w:t>
      </w:r>
      <w:r>
        <w:t xml:space="preserve"> </w:t>
      </w: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r>
        <w:rPr>
          <w:lang w:val="sr-Cyrl-RS"/>
        </w:rPr>
        <w:t>Кикинде</w:t>
      </w:r>
      <w:r>
        <w:t xml:space="preserve"> </w:t>
      </w:r>
      <w:proofErr w:type="spellStart"/>
      <w:r>
        <w:t>број</w:t>
      </w:r>
      <w:proofErr w:type="spellEnd"/>
      <w:r>
        <w:t xml:space="preserve"> </w:t>
      </w:r>
      <w:r w:rsidRPr="00454609">
        <w:rPr>
          <w:lang w:val="en-US"/>
        </w:rPr>
        <w:t>840-714564843-70</w:t>
      </w:r>
      <w:r>
        <w:rPr>
          <w:color w:val="FF0000"/>
          <w:lang w:val="en-US"/>
        </w:rPr>
        <w:t xml:space="preserve"> </w:t>
      </w:r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позивом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r>
        <w:rPr>
          <w:color w:val="FF0000"/>
          <w:lang w:val="en-US"/>
        </w:rPr>
        <w:t xml:space="preserve"> </w:t>
      </w:r>
      <w:r w:rsidRPr="00454609">
        <w:rPr>
          <w:lang w:val="en-US"/>
        </w:rPr>
        <w:t>35-215</w:t>
      </w:r>
      <w:r w:rsidRPr="006C1C36">
        <w:rPr>
          <w:color w:val="FF0000"/>
        </w:rPr>
        <w:t xml:space="preserve"> </w:t>
      </w:r>
      <w:proofErr w:type="spellStart"/>
      <w:r>
        <w:t>модел</w:t>
      </w:r>
      <w:proofErr w:type="spellEnd"/>
      <w:r>
        <w:t xml:space="preserve"> 97.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непоступања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претходном</w:t>
      </w:r>
      <w:proofErr w:type="spellEnd"/>
      <w:r>
        <w:t xml:space="preserve"> </w:t>
      </w:r>
      <w:proofErr w:type="spellStart"/>
      <w:r>
        <w:t>ставу</w:t>
      </w:r>
      <w:proofErr w:type="spellEnd"/>
      <w:r>
        <w:t xml:space="preserve">, </w:t>
      </w:r>
      <w:proofErr w:type="spellStart"/>
      <w:r>
        <w:t>одлука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стављена</w:t>
      </w:r>
      <w:proofErr w:type="spellEnd"/>
      <w:r>
        <w:t xml:space="preserve">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снаге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стицалац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повраћај</w:t>
      </w:r>
      <w:proofErr w:type="spellEnd"/>
      <w:r>
        <w:t xml:space="preserve"> </w:t>
      </w:r>
      <w:proofErr w:type="spellStart"/>
      <w:r>
        <w:t>уплаћеног</w:t>
      </w:r>
      <w:proofErr w:type="spellEnd"/>
      <w:r>
        <w:t xml:space="preserve"> </w:t>
      </w:r>
      <w:proofErr w:type="spellStart"/>
      <w:r>
        <w:t>јемства</w:t>
      </w:r>
      <w:proofErr w:type="spellEnd"/>
      <w:r>
        <w:t xml:space="preserve">. </w:t>
      </w:r>
      <w:proofErr w:type="spellStart"/>
      <w:r>
        <w:t>Одлука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учесницима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>.</w:t>
      </w:r>
    </w:p>
    <w:p w:rsidR="005A53BB" w:rsidRDefault="005A53BB" w:rsidP="000C6F98">
      <w:pPr>
        <w:pStyle w:val="ListParagraph"/>
        <w:tabs>
          <w:tab w:val="left" w:pos="1134"/>
        </w:tabs>
        <w:jc w:val="both"/>
        <w:rPr>
          <w:lang w:val="sr-Cyrl-RS"/>
        </w:rPr>
      </w:pPr>
    </w:p>
    <w:p w:rsidR="005A53BB" w:rsidRDefault="005A53BB" w:rsidP="000C6F98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lang w:val="sr-Cyrl-RS"/>
        </w:rPr>
      </w:pPr>
      <w:r>
        <w:t xml:space="preserve">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коначности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стицању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привремено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 xml:space="preserve">, </w:t>
      </w:r>
      <w:proofErr w:type="spellStart"/>
      <w:r>
        <w:t>стица</w:t>
      </w:r>
      <w:proofErr w:type="spellEnd"/>
      <w:r>
        <w:rPr>
          <w:lang w:val="sr-Cyrl-CS"/>
        </w:rPr>
        <w:t>ла</w:t>
      </w:r>
      <w:r>
        <w:t xml:space="preserve">ц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обавезује</w:t>
      </w:r>
      <w:proofErr w:type="spellEnd"/>
      <w:r>
        <w:t xml:space="preserve"> </w:t>
      </w:r>
      <w:r w:rsidR="00A9558E">
        <w:rPr>
          <w:lang w:val="sr-Cyrl-CS"/>
        </w:rPr>
        <w:t xml:space="preserve">да </w:t>
      </w:r>
      <w:proofErr w:type="gramStart"/>
      <w:r w:rsidR="00A9558E">
        <w:rPr>
          <w:lang w:val="sr-Cyrl-CS"/>
        </w:rPr>
        <w:t xml:space="preserve">закључи </w:t>
      </w:r>
      <w:r>
        <w:t xml:space="preserve"> </w:t>
      </w:r>
      <w:proofErr w:type="spellStart"/>
      <w:r>
        <w:t>уговор</w:t>
      </w:r>
      <w:proofErr w:type="spellEnd"/>
      <w:proofErr w:type="gramEnd"/>
      <w:r>
        <w:t xml:space="preserve"> о </w:t>
      </w:r>
      <w:proofErr w:type="spellStart"/>
      <w:r>
        <w:t>стицању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привремено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Градом</w:t>
      </w:r>
      <w:proofErr w:type="spellEnd"/>
      <w:r>
        <w:t xml:space="preserve"> </w:t>
      </w:r>
      <w:r>
        <w:rPr>
          <w:lang w:val="sr-Cyrl-RS"/>
        </w:rPr>
        <w:t>Кикинда</w:t>
      </w:r>
      <w:r>
        <w:t>.</w:t>
      </w:r>
    </w:p>
    <w:p w:rsidR="005A53BB" w:rsidRDefault="005A53BB" w:rsidP="000C6F98">
      <w:pPr>
        <w:pStyle w:val="ListParagraph"/>
        <w:tabs>
          <w:tab w:val="left" w:pos="1134"/>
        </w:tabs>
        <w:rPr>
          <w:lang w:val="sr-Cyrl-RS"/>
        </w:rPr>
      </w:pPr>
    </w:p>
    <w:p w:rsidR="005A53BB" w:rsidRDefault="005A53BB" w:rsidP="000C6F98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lang w:val="sr-Cyrl-RS"/>
        </w:rPr>
      </w:pPr>
      <w:proofErr w:type="spellStart"/>
      <w:r>
        <w:t>За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надметање</w:t>
      </w:r>
      <w:proofErr w:type="spellEnd"/>
      <w:r>
        <w:t xml:space="preserve"> </w:t>
      </w:r>
      <w:proofErr w:type="spellStart"/>
      <w:r>
        <w:t>заинтересована</w:t>
      </w:r>
      <w:proofErr w:type="spellEnd"/>
      <w:r>
        <w:t xml:space="preserve"> </w:t>
      </w:r>
      <w:proofErr w:type="spellStart"/>
      <w:r>
        <w:t>правна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и </w:t>
      </w:r>
      <w:proofErr w:type="spellStart"/>
      <w:r>
        <w:t>предузетници</w:t>
      </w:r>
      <w:proofErr w:type="spellEnd"/>
      <w:r>
        <w:t xml:space="preserve"> </w:t>
      </w:r>
      <w:proofErr w:type="spellStart"/>
      <w:r>
        <w:t>подносе</w:t>
      </w:r>
      <w:proofErr w:type="spellEnd"/>
      <w:r>
        <w:t xml:space="preserve"> </w:t>
      </w:r>
      <w:proofErr w:type="spellStart"/>
      <w:r>
        <w:t>писмене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r>
        <w:rPr>
          <w:lang w:val="sr-Cyrl-RS"/>
        </w:rPr>
        <w:t>Кикинда</w:t>
      </w:r>
      <w:r>
        <w:t xml:space="preserve">, </w:t>
      </w:r>
      <w:proofErr w:type="spellStart"/>
      <w:r>
        <w:t>Трг</w:t>
      </w:r>
      <w:proofErr w:type="spellEnd"/>
      <w:r>
        <w:t xml:space="preserve"> </w:t>
      </w:r>
      <w:r>
        <w:rPr>
          <w:lang w:val="sr-Cyrl-RS"/>
        </w:rPr>
        <w:t>српских добровољаца 12</w:t>
      </w:r>
      <w:r>
        <w:t xml:space="preserve">,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, </w:t>
      </w:r>
      <w:r>
        <w:rPr>
          <w:lang w:val="sr-Cyrl-RS"/>
        </w:rPr>
        <w:t>на шалтеру Писарнице</w:t>
      </w:r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поштом</w:t>
      </w:r>
      <w:proofErr w:type="spellEnd"/>
      <w:r>
        <w:t xml:space="preserve"> – </w:t>
      </w:r>
      <w:proofErr w:type="spellStart"/>
      <w:r>
        <w:t>од</w:t>
      </w:r>
      <w:proofErr w:type="spellEnd"/>
      <w:r>
        <w:t xml:space="preserve"> </w:t>
      </w:r>
      <w:r w:rsidR="00A9558E">
        <w:rPr>
          <w:lang w:val="sr-Cyrl-RS"/>
        </w:rPr>
        <w:t>08</w:t>
      </w:r>
      <w:r w:rsidRPr="004378D3">
        <w:rPr>
          <w:lang w:val="sr-Cyrl-RS"/>
        </w:rPr>
        <w:t>.</w:t>
      </w:r>
      <w:r w:rsidR="00A9558E">
        <w:rPr>
          <w:lang w:val="sr-Cyrl-RS"/>
        </w:rPr>
        <w:t>11</w:t>
      </w:r>
      <w:r w:rsidRPr="004378D3">
        <w:rPr>
          <w:lang w:val="sr-Cyrl-RS"/>
        </w:rPr>
        <w:t>.2019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до</w:t>
      </w:r>
      <w:proofErr w:type="spellEnd"/>
      <w:r>
        <w:t xml:space="preserve"> </w:t>
      </w:r>
      <w:r w:rsidR="00A9558E">
        <w:rPr>
          <w:lang w:val="sr-Cyrl-CS"/>
        </w:rPr>
        <w:t>15</w:t>
      </w:r>
      <w:r>
        <w:rPr>
          <w:lang w:val="sr-Cyrl-RS"/>
        </w:rPr>
        <w:t>.</w:t>
      </w:r>
      <w:r w:rsidR="00A9558E">
        <w:rPr>
          <w:lang w:val="sr-Cyrl-RS"/>
        </w:rPr>
        <w:t>11</w:t>
      </w:r>
      <w:r>
        <w:rPr>
          <w:lang w:val="sr-Cyrl-RS"/>
        </w:rPr>
        <w:t>.2019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 xml:space="preserve">.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поднета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оглашеног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и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комплетна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узети</w:t>
      </w:r>
      <w:proofErr w:type="spellEnd"/>
      <w:r>
        <w:t xml:space="preserve"> у </w:t>
      </w:r>
      <w:proofErr w:type="spellStart"/>
      <w:r>
        <w:t>обзир</w:t>
      </w:r>
      <w:proofErr w:type="spellEnd"/>
      <w:r>
        <w:t xml:space="preserve">. </w:t>
      </w:r>
    </w:p>
    <w:p w:rsidR="005A53BB" w:rsidRDefault="005A53BB" w:rsidP="000C6F98">
      <w:pPr>
        <w:pStyle w:val="ListParagraph"/>
        <w:tabs>
          <w:tab w:val="left" w:pos="1134"/>
        </w:tabs>
        <w:ind w:left="709" w:firstLine="11"/>
        <w:jc w:val="both"/>
        <w:rPr>
          <w:lang w:val="sr-Cyrl-RS"/>
        </w:rPr>
      </w:pPr>
      <w:proofErr w:type="spellStart"/>
      <w:r>
        <w:t>Пријава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предаје</w:t>
      </w:r>
      <w:proofErr w:type="spellEnd"/>
      <w:r>
        <w:t xml:space="preserve"> у </w:t>
      </w:r>
      <w:proofErr w:type="spellStart"/>
      <w:r>
        <w:t>затвореној</w:t>
      </w:r>
      <w:proofErr w:type="spellEnd"/>
      <w:r>
        <w:t xml:space="preserve"> </w:t>
      </w:r>
      <w:proofErr w:type="spellStart"/>
      <w:r>
        <w:t>коверти</w:t>
      </w:r>
      <w:proofErr w:type="spellEnd"/>
      <w:r>
        <w:t xml:space="preserve"> и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proofErr w:type="gramStart"/>
      <w:r>
        <w:t>садржи</w:t>
      </w:r>
      <w:proofErr w:type="spellEnd"/>
      <w:r>
        <w:t xml:space="preserve">  </w:t>
      </w:r>
      <w:proofErr w:type="spellStart"/>
      <w:r>
        <w:t>тачне</w:t>
      </w:r>
      <w:proofErr w:type="spellEnd"/>
      <w:proofErr w:type="gram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локацији</w:t>
      </w:r>
      <w:proofErr w:type="spellEnd"/>
      <w:r>
        <w:t xml:space="preserve"> </w:t>
      </w:r>
      <w:proofErr w:type="spellStart"/>
      <w:r>
        <w:t>билборда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иста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. </w:t>
      </w:r>
    </w:p>
    <w:p w:rsidR="005A53BB" w:rsidRDefault="005A53BB" w:rsidP="000C6F98">
      <w:pPr>
        <w:pStyle w:val="ListParagraph"/>
        <w:tabs>
          <w:tab w:val="left" w:pos="1134"/>
        </w:tabs>
        <w:ind w:left="0" w:firstLine="720"/>
        <w:jc w:val="both"/>
        <w:rPr>
          <w:lang w:val="sr-Cyrl-RS"/>
        </w:rPr>
      </w:pPr>
      <w:proofErr w:type="spellStart"/>
      <w:r>
        <w:t>Пријава</w:t>
      </w:r>
      <w:proofErr w:type="spellEnd"/>
      <w:r>
        <w:t xml:space="preserve"> </w:t>
      </w:r>
      <w:proofErr w:type="spellStart"/>
      <w:r>
        <w:t>такође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и: </w:t>
      </w:r>
    </w:p>
    <w:p w:rsidR="005A53BB" w:rsidRDefault="005A53BB" w:rsidP="000C6F98">
      <w:pPr>
        <w:pStyle w:val="ListParagraph"/>
        <w:tabs>
          <w:tab w:val="left" w:pos="1134"/>
        </w:tabs>
        <w:ind w:left="709" w:firstLine="11"/>
        <w:jc w:val="both"/>
        <w:rPr>
          <w:lang w:val="sr-Cyrl-RS"/>
        </w:rPr>
      </w:pPr>
      <w:r>
        <w:t xml:space="preserve">- </w:t>
      </w:r>
      <w:proofErr w:type="spellStart"/>
      <w:proofErr w:type="gramStart"/>
      <w:r>
        <w:t>све</w:t>
      </w:r>
      <w:proofErr w:type="spellEnd"/>
      <w:proofErr w:type="gram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подносиоцу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(</w:t>
      </w:r>
      <w:proofErr w:type="spellStart"/>
      <w:r>
        <w:t>пословно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правног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његово</w:t>
      </w:r>
      <w:proofErr w:type="spellEnd"/>
      <w:r>
        <w:t xml:space="preserve"> </w:t>
      </w:r>
      <w:proofErr w:type="spellStart"/>
      <w:r>
        <w:t>седиште</w:t>
      </w:r>
      <w:proofErr w:type="spellEnd"/>
      <w:r>
        <w:t xml:space="preserve">, </w:t>
      </w:r>
      <w:proofErr w:type="spellStart"/>
      <w: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, ПИБ и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овлашћеног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тачан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радње</w:t>
      </w:r>
      <w:proofErr w:type="spellEnd"/>
      <w:r>
        <w:t xml:space="preserve">, 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 </w:t>
      </w:r>
      <w:proofErr w:type="spellStart"/>
      <w:r>
        <w:t>имаоца</w:t>
      </w:r>
      <w:proofErr w:type="spellEnd"/>
      <w:r>
        <w:t xml:space="preserve"> </w:t>
      </w:r>
      <w:proofErr w:type="spellStart"/>
      <w:r>
        <w:t>радње</w:t>
      </w:r>
      <w:proofErr w:type="spellEnd"/>
      <w:r>
        <w:t xml:space="preserve"> и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и </w:t>
      </w:r>
      <w:proofErr w:type="spellStart"/>
      <w:r>
        <w:t>тачну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proofErr w:type="spellStart"/>
      <w:r>
        <w:t>становања</w:t>
      </w:r>
      <w:proofErr w:type="spellEnd"/>
      <w:r>
        <w:t xml:space="preserve">) – </w:t>
      </w:r>
      <w:proofErr w:type="spellStart"/>
      <w:r>
        <w:t>доказује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решењем</w:t>
      </w:r>
      <w:proofErr w:type="spellEnd"/>
      <w:r>
        <w:t xml:space="preserve"> о </w:t>
      </w:r>
      <w:proofErr w:type="spellStart"/>
      <w:r>
        <w:t>упису</w:t>
      </w:r>
      <w:proofErr w:type="spellEnd"/>
      <w:r>
        <w:t xml:space="preserve"> у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</w:p>
    <w:p w:rsidR="005A53BB" w:rsidRDefault="005A53BB" w:rsidP="000C6F98">
      <w:pPr>
        <w:pStyle w:val="ListParagraph"/>
        <w:tabs>
          <w:tab w:val="left" w:pos="1134"/>
        </w:tabs>
        <w:ind w:left="709" w:firstLine="11"/>
        <w:jc w:val="both"/>
        <w:rPr>
          <w:lang w:val="sr-Cyrl-RS"/>
        </w:rPr>
      </w:pPr>
      <w:r>
        <w:t xml:space="preserve">- </w:t>
      </w:r>
      <w:proofErr w:type="spellStart"/>
      <w:proofErr w:type="gramStart"/>
      <w:r>
        <w:t>уредну</w:t>
      </w:r>
      <w:proofErr w:type="spellEnd"/>
      <w:proofErr w:type="gramEnd"/>
      <w:r>
        <w:t xml:space="preserve"> </w:t>
      </w:r>
      <w:proofErr w:type="spellStart"/>
      <w:r>
        <w:t>пуномоћ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заступати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предузетника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, </w:t>
      </w:r>
    </w:p>
    <w:p w:rsidR="005A53BB" w:rsidRDefault="005A53BB" w:rsidP="000C6F98">
      <w:pPr>
        <w:pStyle w:val="ListParagraph"/>
        <w:tabs>
          <w:tab w:val="left" w:pos="1134"/>
        </w:tabs>
        <w:ind w:left="709"/>
        <w:jc w:val="both"/>
        <w:rPr>
          <w:lang w:val="sr-Cyrl-RS"/>
        </w:rPr>
      </w:pPr>
      <w:r>
        <w:t xml:space="preserve">- </w:t>
      </w:r>
      <w:proofErr w:type="spellStart"/>
      <w:proofErr w:type="gramStart"/>
      <w:r>
        <w:t>податке</w:t>
      </w:r>
      <w:proofErr w:type="spellEnd"/>
      <w:proofErr w:type="gramEnd"/>
      <w:r>
        <w:t xml:space="preserve"> о </w:t>
      </w:r>
      <w:proofErr w:type="spellStart"/>
      <w:r>
        <w:t>врсти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, </w:t>
      </w:r>
    </w:p>
    <w:p w:rsidR="005A53BB" w:rsidRDefault="005A53BB" w:rsidP="000C6F98">
      <w:pPr>
        <w:pStyle w:val="ListParagraph"/>
        <w:tabs>
          <w:tab w:val="left" w:pos="1134"/>
        </w:tabs>
        <w:ind w:left="709"/>
        <w:jc w:val="both"/>
        <w:rPr>
          <w:lang w:val="sr-Cyrl-RS"/>
        </w:rPr>
      </w:pPr>
      <w:r>
        <w:t xml:space="preserve">- </w:t>
      </w:r>
      <w:proofErr w:type="spellStart"/>
      <w:proofErr w:type="gramStart"/>
      <w:r>
        <w:t>све</w:t>
      </w:r>
      <w:proofErr w:type="spellEnd"/>
      <w:proofErr w:type="gram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месту</w:t>
      </w:r>
      <w:proofErr w:type="spellEnd"/>
      <w:r>
        <w:t xml:space="preserve"> </w:t>
      </w:r>
      <w:proofErr w:type="spellStart"/>
      <w:r>
        <w:t>постављања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, </w:t>
      </w:r>
    </w:p>
    <w:p w:rsidR="005A53BB" w:rsidRDefault="005A53BB" w:rsidP="000C6F98">
      <w:pPr>
        <w:pStyle w:val="ListParagraph"/>
        <w:tabs>
          <w:tab w:val="left" w:pos="1134"/>
        </w:tabs>
        <w:ind w:left="709" w:firstLine="11"/>
        <w:jc w:val="both"/>
        <w:rPr>
          <w:lang w:val="sr-Cyrl-RS"/>
        </w:rPr>
      </w:pPr>
      <w:r>
        <w:t xml:space="preserve">- </w:t>
      </w:r>
      <w:proofErr w:type="spellStart"/>
      <w:proofErr w:type="gramStart"/>
      <w:r>
        <w:t>изјаву</w:t>
      </w:r>
      <w:proofErr w:type="spellEnd"/>
      <w:proofErr w:type="gram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прихвата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одредбе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о </w:t>
      </w:r>
      <w:proofErr w:type="spellStart"/>
      <w:r>
        <w:t>стицању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привремено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обавезује</w:t>
      </w:r>
      <w:proofErr w:type="spellEnd"/>
      <w:r>
        <w:t xml:space="preserve"> </w:t>
      </w:r>
      <w:proofErr w:type="spellStart"/>
      <w:r>
        <w:t>закључити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коначности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стицању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привремено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 xml:space="preserve">, </w:t>
      </w:r>
    </w:p>
    <w:p w:rsidR="000C6F98" w:rsidRPr="00044940" w:rsidRDefault="005A53BB" w:rsidP="00044940">
      <w:pPr>
        <w:pStyle w:val="ListParagraph"/>
        <w:tabs>
          <w:tab w:val="left" w:pos="1134"/>
        </w:tabs>
        <w:ind w:left="709" w:firstLine="11"/>
        <w:jc w:val="both"/>
      </w:pPr>
      <w:r>
        <w:lastRenderedPageBreak/>
        <w:t xml:space="preserve">- </w:t>
      </w:r>
      <w:proofErr w:type="spellStart"/>
      <w:proofErr w:type="gramStart"/>
      <w:r>
        <w:t>доказ</w:t>
      </w:r>
      <w:proofErr w:type="spellEnd"/>
      <w:proofErr w:type="gramEnd"/>
      <w:r>
        <w:t xml:space="preserve"> о </w:t>
      </w:r>
      <w:proofErr w:type="spellStart"/>
      <w:r>
        <w:t>уплати</w:t>
      </w:r>
      <w:proofErr w:type="spellEnd"/>
      <w:r>
        <w:t xml:space="preserve"> </w:t>
      </w:r>
      <w:proofErr w:type="spellStart"/>
      <w:r>
        <w:t>огласом</w:t>
      </w:r>
      <w:proofErr w:type="spellEnd"/>
      <w:r>
        <w:t xml:space="preserve"> </w:t>
      </w:r>
      <w:proofErr w:type="spellStart"/>
      <w:r>
        <w:t>предвиђеног</w:t>
      </w:r>
      <w:proofErr w:type="spellEnd"/>
      <w:r>
        <w:t xml:space="preserve"> </w:t>
      </w:r>
      <w:proofErr w:type="spellStart"/>
      <w:r>
        <w:t>износа</w:t>
      </w:r>
      <w:proofErr w:type="spellEnd"/>
      <w:r>
        <w:t xml:space="preserve"> </w:t>
      </w:r>
      <w:proofErr w:type="spellStart"/>
      <w:r>
        <w:t>јемства</w:t>
      </w:r>
      <w:proofErr w:type="spellEnd"/>
      <w:r>
        <w:t xml:space="preserve"> (</w:t>
      </w:r>
      <w:proofErr w:type="spellStart"/>
      <w:r>
        <w:t>оригинална</w:t>
      </w:r>
      <w:proofErr w:type="spellEnd"/>
      <w:r>
        <w:t xml:space="preserve"> </w:t>
      </w:r>
      <w:proofErr w:type="spellStart"/>
      <w:r>
        <w:t>уплатница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</w:t>
      </w:r>
      <w:proofErr w:type="spellEnd"/>
      <w:r>
        <w:t xml:space="preserve"> </w:t>
      </w:r>
      <w:proofErr w:type="spellStart"/>
      <w:r>
        <w:t>извод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банке</w:t>
      </w:r>
      <w:proofErr w:type="spellEnd"/>
      <w:r>
        <w:t>).</w:t>
      </w:r>
    </w:p>
    <w:p w:rsidR="005A53BB" w:rsidRPr="00284865" w:rsidRDefault="005A53BB" w:rsidP="000C6F98">
      <w:pPr>
        <w:pStyle w:val="ListParagraph"/>
        <w:tabs>
          <w:tab w:val="left" w:pos="1134"/>
        </w:tabs>
        <w:ind w:left="709" w:firstLine="11"/>
        <w:jc w:val="both"/>
        <w:rPr>
          <w:lang w:val="sr-Cyrl-RS"/>
        </w:rPr>
      </w:pPr>
    </w:p>
    <w:p w:rsidR="005A53BB" w:rsidRDefault="005A53BB" w:rsidP="000C6F98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lang w:val="sr-Cyrl-RS"/>
        </w:rPr>
      </w:pPr>
      <w:proofErr w:type="spellStart"/>
      <w:r>
        <w:t>Јавно</w:t>
      </w:r>
      <w:proofErr w:type="spellEnd"/>
      <w:r>
        <w:t xml:space="preserve"> </w:t>
      </w:r>
      <w:proofErr w:type="spellStart"/>
      <w:r>
        <w:t>надметање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следећем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: </w:t>
      </w:r>
    </w:p>
    <w:p w:rsidR="005A53BB" w:rsidRDefault="005A53BB" w:rsidP="000C6F98">
      <w:pPr>
        <w:pStyle w:val="ListParagraph"/>
        <w:tabs>
          <w:tab w:val="left" w:pos="1134"/>
        </w:tabs>
        <w:jc w:val="both"/>
        <w:rPr>
          <w:lang w:val="sr-Cyrl-RS"/>
        </w:rPr>
      </w:pPr>
      <w:r>
        <w:t xml:space="preserve">1.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овлашћени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објављује</w:t>
      </w:r>
      <w:proofErr w:type="spellEnd"/>
      <w:r>
        <w:t xml:space="preserve"> </w:t>
      </w:r>
      <w:proofErr w:type="spellStart"/>
      <w:r>
        <w:t>почетни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и </w:t>
      </w:r>
      <w:proofErr w:type="spellStart"/>
      <w:r>
        <w:t>позива</w:t>
      </w:r>
      <w:proofErr w:type="spellEnd"/>
      <w:r>
        <w:t xml:space="preserve"> </w:t>
      </w:r>
      <w:proofErr w:type="spellStart"/>
      <w:r>
        <w:t>учеснике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дају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износа</w:t>
      </w:r>
      <w:proofErr w:type="spellEnd"/>
      <w:r>
        <w:t xml:space="preserve"> </w:t>
      </w:r>
      <w:proofErr w:type="spellStart"/>
      <w:r>
        <w:t>увећане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5%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почетног</w:t>
      </w:r>
      <w:proofErr w:type="spellEnd"/>
      <w:r>
        <w:t xml:space="preserve"> </w:t>
      </w:r>
      <w:proofErr w:type="spellStart"/>
      <w:r>
        <w:t>износа</w:t>
      </w:r>
      <w:proofErr w:type="spellEnd"/>
      <w:r>
        <w:t xml:space="preserve">. </w:t>
      </w:r>
    </w:p>
    <w:p w:rsidR="005A53BB" w:rsidRDefault="005A53BB" w:rsidP="000C6F98">
      <w:pPr>
        <w:pStyle w:val="ListParagraph"/>
        <w:tabs>
          <w:tab w:val="left" w:pos="1134"/>
        </w:tabs>
        <w:jc w:val="both"/>
        <w:rPr>
          <w:lang w:val="sr-Cyrl-RS"/>
        </w:rPr>
      </w:pPr>
      <w:r>
        <w:t xml:space="preserve">2. </w:t>
      </w:r>
      <w:proofErr w:type="spellStart"/>
      <w:r>
        <w:t>Учесници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јављају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давање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подизањем</w:t>
      </w:r>
      <w:proofErr w:type="spellEnd"/>
      <w:r>
        <w:t xml:space="preserve"> </w:t>
      </w:r>
      <w:proofErr w:type="spellStart"/>
      <w:r>
        <w:t>руке</w:t>
      </w:r>
      <w:proofErr w:type="spellEnd"/>
      <w:r>
        <w:t xml:space="preserve">. </w:t>
      </w:r>
    </w:p>
    <w:p w:rsidR="005A53BB" w:rsidRDefault="005A53BB" w:rsidP="000C6F98">
      <w:pPr>
        <w:pStyle w:val="ListParagraph"/>
        <w:tabs>
          <w:tab w:val="left" w:pos="1134"/>
        </w:tabs>
        <w:jc w:val="both"/>
        <w:rPr>
          <w:lang w:val="sr-Cyrl-RS"/>
        </w:rPr>
      </w:pPr>
      <w:r>
        <w:t xml:space="preserve">3.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овлашћени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покретом</w:t>
      </w:r>
      <w:proofErr w:type="spellEnd"/>
      <w:r>
        <w:t xml:space="preserve"> </w:t>
      </w:r>
      <w:proofErr w:type="spellStart"/>
      <w:r>
        <w:t>руке</w:t>
      </w:r>
      <w:proofErr w:type="spellEnd"/>
      <w:r>
        <w:t xml:space="preserve"> </w:t>
      </w:r>
      <w:proofErr w:type="spellStart"/>
      <w:r>
        <w:t>дозвољава</w:t>
      </w:r>
      <w:proofErr w:type="spellEnd"/>
      <w:r>
        <w:t xml:space="preserve"> </w:t>
      </w:r>
      <w:proofErr w:type="spellStart"/>
      <w:r>
        <w:t>учеснику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најраније</w:t>
      </w:r>
      <w:proofErr w:type="spellEnd"/>
      <w:r>
        <w:t xml:space="preserve"> </w:t>
      </w:r>
      <w:proofErr w:type="spellStart"/>
      <w:r>
        <w:t>јавио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дâ</w:t>
      </w:r>
      <w:proofErr w:type="spellEnd"/>
      <w:r>
        <w:t xml:space="preserve"> </w:t>
      </w:r>
      <w:proofErr w:type="spellStart"/>
      <w:r>
        <w:t>своју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. </w:t>
      </w:r>
    </w:p>
    <w:p w:rsidR="005A53BB" w:rsidRDefault="005A53BB" w:rsidP="000C6F98">
      <w:pPr>
        <w:pStyle w:val="ListParagraph"/>
        <w:tabs>
          <w:tab w:val="left" w:pos="1134"/>
        </w:tabs>
        <w:jc w:val="both"/>
        <w:rPr>
          <w:lang w:val="sr-Cyrl-RS"/>
        </w:rPr>
      </w:pPr>
      <w:r>
        <w:t xml:space="preserve">4. </w:t>
      </w:r>
      <w:proofErr w:type="spellStart"/>
      <w:r>
        <w:t>Учесник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и </w:t>
      </w:r>
      <w:proofErr w:type="spellStart"/>
      <w:r>
        <w:t>гласно</w:t>
      </w:r>
      <w:proofErr w:type="spellEnd"/>
      <w:r>
        <w:t xml:space="preserve"> </w:t>
      </w:r>
      <w:proofErr w:type="spellStart"/>
      <w:r>
        <w:t>каже</w:t>
      </w:r>
      <w:proofErr w:type="spellEnd"/>
      <w:r>
        <w:t xml:space="preserve"> у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којег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нуди</w:t>
      </w:r>
      <w:proofErr w:type="spellEnd"/>
      <w:r>
        <w:t xml:space="preserve">. </w:t>
      </w:r>
    </w:p>
    <w:p w:rsidR="005A53BB" w:rsidRDefault="005A53BB" w:rsidP="000C6F98">
      <w:pPr>
        <w:pStyle w:val="ListParagraph"/>
        <w:tabs>
          <w:tab w:val="left" w:pos="1134"/>
        </w:tabs>
        <w:jc w:val="both"/>
        <w:rPr>
          <w:lang w:val="sr-Cyrl-RS"/>
        </w:rPr>
      </w:pPr>
      <w:r>
        <w:t xml:space="preserve">5.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овлашћени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пита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пута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неко</w:t>
      </w:r>
      <w:proofErr w:type="spellEnd"/>
      <w:r>
        <w:t xml:space="preserve">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највећег</w:t>
      </w:r>
      <w:proofErr w:type="spellEnd"/>
      <w:r>
        <w:t xml:space="preserve"> </w:t>
      </w:r>
      <w:proofErr w:type="spellStart"/>
      <w:r>
        <w:t>претходно</w:t>
      </w:r>
      <w:proofErr w:type="spellEnd"/>
      <w:r>
        <w:t xml:space="preserve"> </w:t>
      </w:r>
      <w:proofErr w:type="spellStart"/>
      <w:r>
        <w:t>понуђеног</w:t>
      </w:r>
      <w:proofErr w:type="spellEnd"/>
      <w:r>
        <w:t xml:space="preserve"> </w:t>
      </w:r>
      <w:proofErr w:type="spellStart"/>
      <w:r>
        <w:t>износа</w:t>
      </w:r>
      <w:proofErr w:type="spellEnd"/>
      <w:r>
        <w:t xml:space="preserve"> и </w:t>
      </w:r>
      <w:proofErr w:type="spellStart"/>
      <w:r>
        <w:t>констатује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трећег</w:t>
      </w:r>
      <w:proofErr w:type="spellEnd"/>
      <w:r>
        <w:t xml:space="preserve"> </w:t>
      </w:r>
      <w:proofErr w:type="spellStart"/>
      <w:r>
        <w:t>позива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највећи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понуђен</w:t>
      </w:r>
      <w:proofErr w:type="spellEnd"/>
      <w:r>
        <w:t xml:space="preserve"> и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. </w:t>
      </w:r>
    </w:p>
    <w:p w:rsidR="005A53BB" w:rsidRDefault="005A53BB" w:rsidP="000C6F98">
      <w:pPr>
        <w:pStyle w:val="ListParagraph"/>
        <w:tabs>
          <w:tab w:val="left" w:pos="1134"/>
        </w:tabs>
        <w:ind w:left="709"/>
        <w:jc w:val="both"/>
        <w:rPr>
          <w:lang w:val="sr-Cyrl-RS"/>
        </w:rPr>
      </w:pPr>
      <w:proofErr w:type="spellStart"/>
      <w:proofErr w:type="gramStart"/>
      <w:r>
        <w:t>Председник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овлашћени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констатује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најповољнија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јесте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највећи</w:t>
      </w:r>
      <w:proofErr w:type="spellEnd"/>
      <w:r>
        <w:t xml:space="preserve"> </w:t>
      </w:r>
      <w:proofErr w:type="spellStart"/>
      <w:r>
        <w:t>новчани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накнаде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стицање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привремено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 xml:space="preserve">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почетни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једнократне</w:t>
      </w:r>
      <w:proofErr w:type="spellEnd"/>
      <w:r>
        <w:t xml:space="preserve"> </w:t>
      </w:r>
      <w:proofErr w:type="spellStart"/>
      <w:r>
        <w:t>накнаде</w:t>
      </w:r>
      <w:proofErr w:type="spellEnd"/>
      <w:r>
        <w:t>.</w:t>
      </w:r>
      <w:proofErr w:type="gramEnd"/>
      <w:r>
        <w:t xml:space="preserve"> </w:t>
      </w:r>
    </w:p>
    <w:p w:rsidR="005A53BB" w:rsidRDefault="005A53BB" w:rsidP="000C6F98">
      <w:pPr>
        <w:pStyle w:val="ListParagraph"/>
        <w:tabs>
          <w:tab w:val="left" w:pos="1134"/>
        </w:tabs>
        <w:jc w:val="both"/>
        <w:rPr>
          <w:lang w:val="sr-Cyrl-RS"/>
        </w:rPr>
      </w:pPr>
      <w:proofErr w:type="spellStart"/>
      <w:proofErr w:type="gramStart"/>
      <w:r>
        <w:t>Сваки</w:t>
      </w:r>
      <w:proofErr w:type="spellEnd"/>
      <w:r>
        <w:t xml:space="preserve"> </w:t>
      </w:r>
      <w:proofErr w:type="spellStart"/>
      <w:r>
        <w:t>учесник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,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,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примедбе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ток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, и </w:t>
      </w:r>
      <w:proofErr w:type="spellStart"/>
      <w:r>
        <w:t>исте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уносе</w:t>
      </w:r>
      <w:proofErr w:type="spellEnd"/>
      <w:r>
        <w:t xml:space="preserve"> у </w:t>
      </w:r>
      <w:proofErr w:type="spellStart"/>
      <w:r>
        <w:t>записник</w:t>
      </w:r>
      <w:proofErr w:type="spellEnd"/>
      <w:r>
        <w:t xml:space="preserve"> о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Записник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потписују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учесници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rPr>
          <w:lang w:val="sr-Cyrl-RS"/>
        </w:rPr>
        <w:t xml:space="preserve"> </w:t>
      </w:r>
      <w:r>
        <w:t xml:space="preserve">и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>.</w:t>
      </w:r>
      <w:proofErr w:type="gramEnd"/>
      <w:r>
        <w:t xml:space="preserve"> </w:t>
      </w:r>
    </w:p>
    <w:p w:rsidR="005A53BB" w:rsidRDefault="005A53BB" w:rsidP="000C6F98">
      <w:pPr>
        <w:pStyle w:val="ListParagraph"/>
        <w:tabs>
          <w:tab w:val="left" w:pos="1134"/>
        </w:tabs>
        <w:jc w:val="both"/>
        <w:rPr>
          <w:lang w:val="sr-Cyrl-RS"/>
        </w:rPr>
      </w:pPr>
      <w:proofErr w:type="spellStart"/>
      <w:proofErr w:type="gramStart"/>
      <w:r>
        <w:t>Учесник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понудио</w:t>
      </w:r>
      <w:proofErr w:type="spellEnd"/>
      <w:r>
        <w:t xml:space="preserve"> </w:t>
      </w:r>
      <w:proofErr w:type="spellStart"/>
      <w:r>
        <w:t>највећи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потписује</w:t>
      </w:r>
      <w:proofErr w:type="spellEnd"/>
      <w:r>
        <w:t xml:space="preserve"> </w:t>
      </w:r>
      <w:proofErr w:type="spellStart"/>
      <w:r>
        <w:t>изјаву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понудио</w:t>
      </w:r>
      <w:proofErr w:type="spellEnd"/>
      <w:r>
        <w:t xml:space="preserve"> </w:t>
      </w:r>
      <w:proofErr w:type="spellStart"/>
      <w:r>
        <w:t>највећи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t xml:space="preserve"> </w:t>
      </w:r>
      <w:proofErr w:type="spellStart"/>
      <w:r>
        <w:t>висине</w:t>
      </w:r>
      <w:proofErr w:type="spellEnd"/>
      <w:r>
        <w:t xml:space="preserve"> </w:t>
      </w:r>
      <w:proofErr w:type="spellStart"/>
      <w:r>
        <w:t>износа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чини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записника</w:t>
      </w:r>
      <w:proofErr w:type="spellEnd"/>
      <w:r>
        <w:t>.</w:t>
      </w:r>
      <w:proofErr w:type="gramEnd"/>
      <w:r>
        <w:t xml:space="preserve"> </w:t>
      </w:r>
    </w:p>
    <w:p w:rsidR="005A53BB" w:rsidRDefault="005A53BB" w:rsidP="000C6F98">
      <w:pPr>
        <w:pStyle w:val="ListParagraph"/>
        <w:tabs>
          <w:tab w:val="left" w:pos="1134"/>
        </w:tabs>
        <w:jc w:val="both"/>
        <w:rPr>
          <w:lang w:val="sr-Cyrl-RS"/>
        </w:rPr>
      </w:pPr>
      <w:proofErr w:type="spellStart"/>
      <w:proofErr w:type="gramStart"/>
      <w:r>
        <w:t>Поступак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свему</w:t>
      </w:r>
      <w:proofErr w:type="spellEnd"/>
      <w:r>
        <w:t xml:space="preserve"> </w:t>
      </w:r>
      <w:proofErr w:type="spellStart"/>
      <w:r>
        <w:t>осталом</w:t>
      </w:r>
      <w:proofErr w:type="spellEnd"/>
      <w:r>
        <w:t xml:space="preserve"> </w:t>
      </w:r>
      <w:proofErr w:type="spellStart"/>
      <w:r>
        <w:t>спровести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оглашавању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r>
        <w:rPr>
          <w:lang w:val="sr-Cyrl-RS"/>
        </w:rPr>
        <w:t>Кикинд</w:t>
      </w:r>
      <w:r>
        <w:t>е.</w:t>
      </w:r>
      <w:proofErr w:type="gramEnd"/>
      <w:r>
        <w:t xml:space="preserve"> </w:t>
      </w:r>
    </w:p>
    <w:p w:rsidR="005A53BB" w:rsidRPr="006963CA" w:rsidRDefault="005A53BB" w:rsidP="000C6F98">
      <w:pPr>
        <w:pStyle w:val="ListParagraph"/>
        <w:tabs>
          <w:tab w:val="left" w:pos="1134"/>
        </w:tabs>
        <w:jc w:val="both"/>
        <w:rPr>
          <w:b/>
          <w:lang w:val="sr-Cyrl-RS"/>
        </w:rPr>
      </w:pPr>
      <w:proofErr w:type="spellStart"/>
      <w:proofErr w:type="gramStart"/>
      <w:r w:rsidRPr="006963CA">
        <w:rPr>
          <w:b/>
        </w:rPr>
        <w:t>Јавно</w:t>
      </w:r>
      <w:proofErr w:type="spellEnd"/>
      <w:r w:rsidRPr="006963CA">
        <w:rPr>
          <w:b/>
        </w:rPr>
        <w:t xml:space="preserve"> </w:t>
      </w:r>
      <w:proofErr w:type="spellStart"/>
      <w:r w:rsidRPr="006963CA">
        <w:rPr>
          <w:b/>
        </w:rPr>
        <w:t>надметање</w:t>
      </w:r>
      <w:proofErr w:type="spellEnd"/>
      <w:r w:rsidRPr="006963CA">
        <w:rPr>
          <w:b/>
        </w:rPr>
        <w:t xml:space="preserve"> (</w:t>
      </w:r>
      <w:proofErr w:type="spellStart"/>
      <w:r w:rsidRPr="006963CA">
        <w:rPr>
          <w:b/>
        </w:rPr>
        <w:t>лицитација</w:t>
      </w:r>
      <w:proofErr w:type="spellEnd"/>
      <w:r w:rsidRPr="006963CA">
        <w:rPr>
          <w:b/>
        </w:rPr>
        <w:t xml:space="preserve">) </w:t>
      </w:r>
      <w:proofErr w:type="spellStart"/>
      <w:r w:rsidRPr="006963CA">
        <w:rPr>
          <w:b/>
        </w:rPr>
        <w:t>одржаће</w:t>
      </w:r>
      <w:proofErr w:type="spellEnd"/>
      <w:r w:rsidRPr="006963CA">
        <w:rPr>
          <w:b/>
        </w:rPr>
        <w:t xml:space="preserve"> </w:t>
      </w:r>
      <w:proofErr w:type="spellStart"/>
      <w:r w:rsidRPr="006963CA">
        <w:rPr>
          <w:b/>
        </w:rPr>
        <w:t>се</w:t>
      </w:r>
      <w:proofErr w:type="spellEnd"/>
      <w:r w:rsidRPr="006963CA">
        <w:rPr>
          <w:b/>
        </w:rPr>
        <w:t xml:space="preserve"> </w:t>
      </w:r>
      <w:r w:rsidR="00A9558E" w:rsidRPr="006963CA">
        <w:rPr>
          <w:b/>
          <w:lang w:val="sr-Cyrl-CS"/>
        </w:rPr>
        <w:t>19</w:t>
      </w:r>
      <w:r w:rsidRPr="006963CA">
        <w:rPr>
          <w:b/>
          <w:lang w:val="sr-Cyrl-RS"/>
        </w:rPr>
        <w:t>.</w:t>
      </w:r>
      <w:r w:rsidR="00A9558E" w:rsidRPr="006963CA">
        <w:rPr>
          <w:b/>
          <w:lang w:val="sr-Cyrl-RS"/>
        </w:rPr>
        <w:t>11</w:t>
      </w:r>
      <w:r w:rsidRPr="006963CA">
        <w:rPr>
          <w:b/>
          <w:lang w:val="sr-Cyrl-RS"/>
        </w:rPr>
        <w:t>.2019</w:t>
      </w:r>
      <w:r w:rsidRPr="006963CA">
        <w:rPr>
          <w:b/>
        </w:rPr>
        <w:t>.</w:t>
      </w:r>
      <w:proofErr w:type="gramEnd"/>
      <w:r w:rsidRPr="006963CA">
        <w:rPr>
          <w:b/>
        </w:rPr>
        <w:t xml:space="preserve"> </w:t>
      </w:r>
      <w:proofErr w:type="spellStart"/>
      <w:proofErr w:type="gramStart"/>
      <w:r w:rsidRPr="006963CA">
        <w:rPr>
          <w:b/>
        </w:rPr>
        <w:t>године</w:t>
      </w:r>
      <w:proofErr w:type="spellEnd"/>
      <w:proofErr w:type="gramEnd"/>
      <w:r w:rsidRPr="006963CA">
        <w:rPr>
          <w:b/>
        </w:rPr>
        <w:t xml:space="preserve"> </w:t>
      </w:r>
      <w:proofErr w:type="spellStart"/>
      <w:r w:rsidRPr="006963CA">
        <w:rPr>
          <w:b/>
        </w:rPr>
        <w:t>са</w:t>
      </w:r>
      <w:proofErr w:type="spellEnd"/>
      <w:r w:rsidRPr="006963CA">
        <w:rPr>
          <w:b/>
        </w:rPr>
        <w:t xml:space="preserve"> </w:t>
      </w:r>
      <w:proofErr w:type="spellStart"/>
      <w:r w:rsidRPr="006963CA">
        <w:rPr>
          <w:b/>
        </w:rPr>
        <w:t>почетком</w:t>
      </w:r>
      <w:proofErr w:type="spellEnd"/>
      <w:r w:rsidRPr="006963CA">
        <w:rPr>
          <w:b/>
        </w:rPr>
        <w:t xml:space="preserve"> у 1</w:t>
      </w:r>
      <w:r w:rsidRPr="006963CA">
        <w:rPr>
          <w:b/>
          <w:lang w:val="sr-Cyrl-CS"/>
        </w:rPr>
        <w:t>2,</w:t>
      </w:r>
      <w:r w:rsidRPr="006963CA">
        <w:rPr>
          <w:b/>
        </w:rPr>
        <w:t xml:space="preserve">00 </w:t>
      </w:r>
      <w:proofErr w:type="spellStart"/>
      <w:r w:rsidRPr="006963CA">
        <w:rPr>
          <w:b/>
        </w:rPr>
        <w:t>часова</w:t>
      </w:r>
      <w:proofErr w:type="spellEnd"/>
      <w:r w:rsidRPr="006963CA">
        <w:rPr>
          <w:b/>
        </w:rPr>
        <w:t xml:space="preserve"> у </w:t>
      </w:r>
      <w:proofErr w:type="spellStart"/>
      <w:r w:rsidRPr="006963CA">
        <w:rPr>
          <w:b/>
        </w:rPr>
        <w:t>сали</w:t>
      </w:r>
      <w:proofErr w:type="spellEnd"/>
      <w:r w:rsidRPr="006963CA">
        <w:rPr>
          <w:b/>
        </w:rPr>
        <w:t xml:space="preserve"> </w:t>
      </w:r>
      <w:r w:rsidRPr="006963CA">
        <w:rPr>
          <w:b/>
          <w:lang w:val="sr-Cyrl-CS"/>
        </w:rPr>
        <w:t xml:space="preserve">бр. </w:t>
      </w:r>
      <w:r w:rsidRPr="006963CA">
        <w:rPr>
          <w:b/>
          <w:lang w:val="sr-Cyrl-RS"/>
        </w:rPr>
        <w:t>51 Градске управе Кикинда,</w:t>
      </w:r>
      <w:r w:rsidRPr="006963CA">
        <w:rPr>
          <w:b/>
        </w:rPr>
        <w:t xml:space="preserve">  </w:t>
      </w:r>
      <w:proofErr w:type="spellStart"/>
      <w:r w:rsidRPr="006963CA">
        <w:rPr>
          <w:b/>
        </w:rPr>
        <w:t>Трг</w:t>
      </w:r>
      <w:proofErr w:type="spellEnd"/>
      <w:r w:rsidRPr="006963CA">
        <w:rPr>
          <w:b/>
        </w:rPr>
        <w:t xml:space="preserve"> </w:t>
      </w:r>
      <w:r w:rsidRPr="006963CA">
        <w:rPr>
          <w:b/>
          <w:lang w:val="sr-Cyrl-RS"/>
        </w:rPr>
        <w:t>српских добровољаца 12</w:t>
      </w:r>
      <w:r w:rsidRPr="006963CA">
        <w:rPr>
          <w:b/>
        </w:rPr>
        <w:t xml:space="preserve">. </w:t>
      </w:r>
    </w:p>
    <w:p w:rsidR="005A53BB" w:rsidRDefault="005A53BB" w:rsidP="000C6F98">
      <w:pPr>
        <w:pStyle w:val="ListParagraph"/>
        <w:tabs>
          <w:tab w:val="left" w:pos="1134"/>
        </w:tabs>
        <w:jc w:val="both"/>
        <w:rPr>
          <w:lang w:val="sr-Cyrl-RS"/>
        </w:rPr>
      </w:pPr>
      <w:proofErr w:type="spellStart"/>
      <w:r>
        <w:t>Tекст</w:t>
      </w:r>
      <w:proofErr w:type="spellEnd"/>
      <w:r>
        <w:t xml:space="preserve"> </w:t>
      </w:r>
      <w:r>
        <w:rPr>
          <w:lang w:val="sr-Cyrl-RS"/>
        </w:rPr>
        <w:t>огласа</w:t>
      </w:r>
      <w:r>
        <w:t xml:space="preserve"> </w:t>
      </w:r>
      <w:proofErr w:type="spellStart"/>
      <w:r>
        <w:t>објавиће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“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t>листу</w:t>
      </w:r>
      <w:proofErr w:type="spellEnd"/>
      <w:r>
        <w:t xml:space="preserve"> </w:t>
      </w:r>
      <w:r>
        <w:rPr>
          <w:lang w:val="sr-Cyrl-RS"/>
        </w:rPr>
        <w:t>г</w:t>
      </w:r>
      <w:proofErr w:type="spellStart"/>
      <w:r>
        <w:t>рада</w:t>
      </w:r>
      <w:proofErr w:type="spellEnd"/>
      <w:r>
        <w:t xml:space="preserve"> </w:t>
      </w:r>
      <w:r>
        <w:rPr>
          <w:lang w:val="sr-Cyrl-RS"/>
        </w:rPr>
        <w:t>Кикинде</w:t>
      </w:r>
      <w:r>
        <w:t xml:space="preserve">”,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rPr>
          <w:lang w:val="sr-Cyrl-RS"/>
        </w:rPr>
        <w:t xml:space="preserve"> страници</w:t>
      </w:r>
      <w:r>
        <w:t xml:space="preserve"> </w:t>
      </w:r>
      <w:r>
        <w:rPr>
          <w:lang w:val="sr-Cyrl-RS"/>
        </w:rPr>
        <w:t>Града</w:t>
      </w:r>
      <w:r>
        <w:t xml:space="preserve"> </w:t>
      </w:r>
      <w:hyperlink r:id="rId10" w:history="1">
        <w:r w:rsidRPr="00021116">
          <w:rPr>
            <w:rStyle w:val="Hyperlink"/>
          </w:rPr>
          <w:t>www.kikinda.org.rs</w:t>
        </w:r>
      </w:hyperlink>
      <w:r>
        <w:t xml:space="preserve">, у </w:t>
      </w:r>
      <w:r>
        <w:rPr>
          <w:lang w:val="sr-Cyrl-RS"/>
        </w:rPr>
        <w:t xml:space="preserve">недељном </w:t>
      </w:r>
      <w:proofErr w:type="spellStart"/>
      <w:r>
        <w:t>листу</w:t>
      </w:r>
      <w:proofErr w:type="spellEnd"/>
      <w:r>
        <w:t xml:space="preserve"> “</w:t>
      </w:r>
      <w:r>
        <w:rPr>
          <w:lang w:val="sr-Cyrl-RS"/>
        </w:rPr>
        <w:t>Кикиндске</w:t>
      </w:r>
      <w:r>
        <w:t xml:space="preserve"> </w:t>
      </w:r>
      <w:proofErr w:type="spellStart"/>
      <w:r>
        <w:t>новине</w:t>
      </w:r>
      <w:proofErr w:type="spellEnd"/>
      <w:r>
        <w:t xml:space="preserve">” и </w:t>
      </w:r>
      <w:r>
        <w:rPr>
          <w:lang w:val="sr-Cyrl-RS"/>
        </w:rPr>
        <w:t xml:space="preserve">дневном листу </w:t>
      </w:r>
      <w:r>
        <w:t>„</w:t>
      </w:r>
      <w:r>
        <w:rPr>
          <w:lang w:val="sr-Cyrl-RS"/>
        </w:rPr>
        <w:t>Информер</w:t>
      </w:r>
      <w:r>
        <w:t xml:space="preserve">“. </w:t>
      </w:r>
    </w:p>
    <w:p w:rsidR="005A53BB" w:rsidRDefault="005A53BB" w:rsidP="000C6F98">
      <w:pPr>
        <w:pStyle w:val="ListParagraph"/>
        <w:tabs>
          <w:tab w:val="left" w:pos="1134"/>
        </w:tabs>
        <w:jc w:val="both"/>
        <w:rPr>
          <w:lang w:val="sr-Cyrl-RS"/>
        </w:rPr>
      </w:pPr>
      <w:proofErr w:type="spellStart"/>
      <w:r>
        <w:t>Све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огласом</w:t>
      </w:r>
      <w:proofErr w:type="spellEnd"/>
      <w:r>
        <w:t xml:space="preserve">,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добити</w:t>
      </w:r>
      <w:proofErr w:type="spellEnd"/>
      <w:r>
        <w:t xml:space="preserve"> у </w:t>
      </w:r>
      <w:r>
        <w:rPr>
          <w:lang w:val="sr-Cyrl-RS"/>
        </w:rPr>
        <w:t>Одсеку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имовинско</w:t>
      </w:r>
      <w:proofErr w:type="spellEnd"/>
      <w:r>
        <w:t xml:space="preserve"> </w:t>
      </w:r>
      <w:proofErr w:type="spellStart"/>
      <w:r>
        <w:t>правне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, </w:t>
      </w:r>
      <w:proofErr w:type="spellStart"/>
      <w:r>
        <w:t>канцеларија</w:t>
      </w:r>
      <w:proofErr w:type="spellEnd"/>
      <w:r>
        <w:t xml:space="preserve"> </w:t>
      </w:r>
      <w:proofErr w:type="spellStart"/>
      <w:r w:rsidRPr="00706D29">
        <w:t>број</w:t>
      </w:r>
      <w:proofErr w:type="spellEnd"/>
      <w:r w:rsidRPr="00706D29">
        <w:t xml:space="preserve"> </w:t>
      </w:r>
      <w:r w:rsidRPr="00706D29">
        <w:rPr>
          <w:lang w:val="sr-Cyrl-RS"/>
        </w:rPr>
        <w:t>48</w:t>
      </w:r>
      <w:r w:rsidRPr="00706D29">
        <w:t xml:space="preserve"> </w:t>
      </w:r>
      <w:proofErr w:type="spellStart"/>
      <w:r w:rsidRPr="00706D29">
        <w:t>или</w:t>
      </w:r>
      <w:proofErr w:type="spellEnd"/>
      <w:r w:rsidRPr="00706D29">
        <w:t xml:space="preserve"> </w:t>
      </w:r>
      <w:proofErr w:type="spellStart"/>
      <w:r w:rsidRPr="00706D29">
        <w:t>на</w:t>
      </w:r>
      <w:proofErr w:type="spellEnd"/>
      <w:r w:rsidRPr="00706D29">
        <w:t xml:space="preserve"> </w:t>
      </w:r>
      <w:proofErr w:type="spellStart"/>
      <w:r w:rsidRPr="00706D29">
        <w:t>тел</w:t>
      </w:r>
      <w:proofErr w:type="spellEnd"/>
      <w:r w:rsidRPr="00706D29">
        <w:t>: 02</w:t>
      </w:r>
      <w:r w:rsidRPr="00706D29">
        <w:rPr>
          <w:lang w:val="sr-Cyrl-RS"/>
        </w:rPr>
        <w:t>30</w:t>
      </w:r>
      <w:r w:rsidRPr="00706D29">
        <w:t>/</w:t>
      </w:r>
      <w:r w:rsidRPr="00706D29">
        <w:rPr>
          <w:lang w:val="sr-Cyrl-RS"/>
        </w:rPr>
        <w:t>410-124</w:t>
      </w:r>
      <w:r>
        <w:t xml:space="preserve"> </w:t>
      </w:r>
      <w:proofErr w:type="spellStart"/>
      <w:r>
        <w:t>сваког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08.00 </w:t>
      </w:r>
      <w:proofErr w:type="spellStart"/>
      <w:r>
        <w:t>до</w:t>
      </w:r>
      <w:proofErr w:type="spellEnd"/>
      <w:r>
        <w:t xml:space="preserve"> 12.00 </w:t>
      </w:r>
      <w:proofErr w:type="spellStart"/>
      <w:r>
        <w:t>часова</w:t>
      </w:r>
      <w:proofErr w:type="spellEnd"/>
      <w:r>
        <w:t xml:space="preserve">. </w:t>
      </w:r>
    </w:p>
    <w:p w:rsidR="005A53BB" w:rsidRPr="00284865" w:rsidRDefault="005A53BB" w:rsidP="000C6F98">
      <w:pPr>
        <w:pStyle w:val="ListParagraph"/>
        <w:tabs>
          <w:tab w:val="left" w:pos="1134"/>
        </w:tabs>
        <w:jc w:val="both"/>
        <w:rPr>
          <w:lang w:val="sr-Cyrl-RS"/>
        </w:rPr>
      </w:pPr>
      <w:proofErr w:type="spellStart"/>
      <w:proofErr w:type="gram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Огласа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списак</w:t>
      </w:r>
      <w:proofErr w:type="spellEnd"/>
      <w:r>
        <w:t xml:space="preserve"> </w:t>
      </w:r>
      <w:proofErr w:type="spellStart"/>
      <w:r>
        <w:t>локација</w:t>
      </w:r>
      <w:proofErr w:type="spellEnd"/>
      <w:r>
        <w:t xml:space="preserve"> </w:t>
      </w:r>
      <w:proofErr w:type="spellStart"/>
      <w:r>
        <w:t>предвиђених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постављање</w:t>
      </w:r>
      <w:proofErr w:type="spellEnd"/>
      <w:r>
        <w:t xml:space="preserve"> </w:t>
      </w:r>
      <w:proofErr w:type="spellStart"/>
      <w:r>
        <w:t>билборда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r>
        <w:rPr>
          <w:lang w:val="sr-Cyrl-RS"/>
        </w:rPr>
        <w:t>гр</w:t>
      </w:r>
      <w:proofErr w:type="spellStart"/>
      <w:r>
        <w:t>ада</w:t>
      </w:r>
      <w:proofErr w:type="spellEnd"/>
      <w:r>
        <w:t xml:space="preserve"> </w:t>
      </w:r>
      <w:r>
        <w:rPr>
          <w:lang w:val="sr-Cyrl-RS"/>
        </w:rPr>
        <w:t>Кикинде</w:t>
      </w:r>
      <w:r>
        <w:t>.</w:t>
      </w:r>
      <w:proofErr w:type="gramEnd"/>
      <w:r>
        <w:rPr>
          <w:lang w:val="sr-Cyrl-RS"/>
        </w:rPr>
        <w:t xml:space="preserve">    </w:t>
      </w:r>
    </w:p>
    <w:p w:rsidR="005A53BB" w:rsidRPr="00CB36DB" w:rsidRDefault="005A53BB" w:rsidP="000C6F98">
      <w:pPr>
        <w:pStyle w:val="ListParagraph"/>
        <w:tabs>
          <w:tab w:val="left" w:pos="1134"/>
        </w:tabs>
        <w:ind w:left="0"/>
        <w:jc w:val="both"/>
        <w:rPr>
          <w:lang w:val="sr-Cyrl-RS"/>
        </w:rPr>
      </w:pPr>
    </w:p>
    <w:p w:rsidR="005A53BB" w:rsidRDefault="005A53BB" w:rsidP="000C6F98">
      <w:pPr>
        <w:pStyle w:val="ListParagraph"/>
        <w:tabs>
          <w:tab w:val="left" w:pos="1134"/>
        </w:tabs>
        <w:rPr>
          <w:lang w:val="sr-Cyrl-CS"/>
        </w:rPr>
      </w:pPr>
    </w:p>
    <w:p w:rsidR="005A53BB" w:rsidRDefault="005A53BB" w:rsidP="000C6F98">
      <w:pPr>
        <w:tabs>
          <w:tab w:val="left" w:pos="1134"/>
        </w:tabs>
        <w:ind w:left="8496"/>
        <w:rPr>
          <w:b/>
          <w:bCs/>
          <w:lang w:val="en-US"/>
        </w:rPr>
      </w:pPr>
      <w:r>
        <w:rPr>
          <w:lang w:val="en-US"/>
        </w:rPr>
        <w:t xml:space="preserve">                                                                            </w:t>
      </w:r>
      <w:r w:rsidR="00BF57ED">
        <w:rPr>
          <w:lang w:val="en-US"/>
        </w:rPr>
        <w:t xml:space="preserve">                                               </w:t>
      </w:r>
      <w:r>
        <w:rPr>
          <w:lang w:val="en-US"/>
        </w:rPr>
        <w:t xml:space="preserve">    </w:t>
      </w:r>
      <w:r w:rsidRPr="002A4266">
        <w:rPr>
          <w:b/>
          <w:bCs/>
          <w:lang w:val="sr-Cyrl-CS"/>
        </w:rPr>
        <w:t>ГРАДОНАЧЕЛНИК</w:t>
      </w:r>
    </w:p>
    <w:p w:rsidR="005A53BB" w:rsidRDefault="000C6F98" w:rsidP="000C6F98">
      <w:pPr>
        <w:tabs>
          <w:tab w:val="left" w:pos="1134"/>
        </w:tabs>
        <w:ind w:left="8496"/>
        <w:rPr>
          <w:b/>
          <w:bCs/>
          <w:lang w:val="sr-Cyrl-CS"/>
        </w:rPr>
      </w:pPr>
      <w:r>
        <w:rPr>
          <w:b/>
          <w:bCs/>
          <w:lang w:val="en-US"/>
        </w:rPr>
        <w:t xml:space="preserve">     </w:t>
      </w:r>
      <w:r w:rsidR="005A53BB">
        <w:rPr>
          <w:b/>
          <w:bCs/>
          <w:lang w:val="en-US"/>
        </w:rPr>
        <w:t xml:space="preserve"> </w:t>
      </w:r>
      <w:r w:rsidR="005A53BB">
        <w:rPr>
          <w:b/>
          <w:bCs/>
          <w:lang w:val="sr-Cyrl-CS"/>
        </w:rPr>
        <w:t>Павле Марков</w:t>
      </w:r>
    </w:p>
    <w:p w:rsidR="005A53BB" w:rsidRPr="005A53BB" w:rsidRDefault="005A53BB" w:rsidP="000C6F98">
      <w:pPr>
        <w:tabs>
          <w:tab w:val="left" w:pos="1134"/>
        </w:tabs>
        <w:ind w:left="1080"/>
        <w:rPr>
          <w:b/>
          <w:bCs/>
          <w:lang w:val="en-US"/>
        </w:rPr>
      </w:pPr>
    </w:p>
    <w:p w:rsidR="005A53BB" w:rsidRDefault="005A53BB" w:rsidP="000C6F98">
      <w:pPr>
        <w:tabs>
          <w:tab w:val="left" w:pos="1134"/>
        </w:tabs>
        <w:ind w:left="1080"/>
        <w:rPr>
          <w:b/>
          <w:bCs/>
          <w:lang w:val="sr-Cyrl-CS"/>
        </w:rPr>
      </w:pPr>
    </w:p>
    <w:p w:rsidR="005A53BB" w:rsidRDefault="005A53BB" w:rsidP="000C6F98">
      <w:pPr>
        <w:tabs>
          <w:tab w:val="left" w:pos="1134"/>
        </w:tabs>
        <w:ind w:left="1080"/>
        <w:rPr>
          <w:b/>
          <w:bCs/>
          <w:lang w:val="sr-Cyrl-CS"/>
        </w:rPr>
      </w:pPr>
    </w:p>
    <w:p w:rsidR="005A53BB" w:rsidRDefault="005A53BB" w:rsidP="000514C4">
      <w:pPr>
        <w:tabs>
          <w:tab w:val="left" w:pos="1134"/>
        </w:tabs>
        <w:ind w:left="1080"/>
        <w:jc w:val="center"/>
        <w:rPr>
          <w:b/>
          <w:bCs/>
          <w:lang w:val="sr-Cyrl-CS"/>
        </w:rPr>
      </w:pPr>
    </w:p>
    <w:p w:rsidR="005A53BB" w:rsidRDefault="005A53BB" w:rsidP="000C6F98">
      <w:pPr>
        <w:tabs>
          <w:tab w:val="left" w:pos="1134"/>
        </w:tabs>
        <w:ind w:left="1080"/>
        <w:rPr>
          <w:b/>
          <w:bCs/>
          <w:lang w:val="sr-Cyrl-CS"/>
        </w:rPr>
      </w:pPr>
    </w:p>
    <w:p w:rsidR="005A53BB" w:rsidRDefault="005A53BB" w:rsidP="000C6F98">
      <w:pPr>
        <w:tabs>
          <w:tab w:val="left" w:pos="1134"/>
        </w:tabs>
        <w:ind w:left="1080"/>
        <w:rPr>
          <w:b/>
          <w:bCs/>
          <w:lang w:val="sr-Cyrl-CS"/>
        </w:rPr>
      </w:pPr>
    </w:p>
    <w:p w:rsidR="005A53BB" w:rsidRDefault="005A53BB" w:rsidP="000C6F98">
      <w:pPr>
        <w:tabs>
          <w:tab w:val="left" w:pos="1134"/>
        </w:tabs>
        <w:ind w:left="1080"/>
        <w:rPr>
          <w:b/>
          <w:bCs/>
          <w:lang w:val="sr-Cyrl-CS"/>
        </w:rPr>
      </w:pPr>
    </w:p>
    <w:p w:rsidR="005A53BB" w:rsidRDefault="005A53BB" w:rsidP="000C6F98">
      <w:pPr>
        <w:tabs>
          <w:tab w:val="left" w:pos="1134"/>
        </w:tabs>
        <w:ind w:left="1080"/>
        <w:rPr>
          <w:b/>
          <w:bCs/>
          <w:lang w:val="sr-Cyrl-CS"/>
        </w:rPr>
      </w:pPr>
    </w:p>
    <w:p w:rsidR="00DF32A5" w:rsidRDefault="00DF32A5" w:rsidP="000C6F98">
      <w:pPr>
        <w:tabs>
          <w:tab w:val="left" w:pos="1134"/>
        </w:tabs>
      </w:pPr>
    </w:p>
    <w:p w:rsidR="00136F37" w:rsidRDefault="00136F37" w:rsidP="000C6F98">
      <w:pPr>
        <w:tabs>
          <w:tab w:val="left" w:pos="1134"/>
        </w:tabs>
      </w:pPr>
    </w:p>
    <w:p w:rsidR="00136F37" w:rsidRDefault="00136F37" w:rsidP="000C6F98">
      <w:pPr>
        <w:tabs>
          <w:tab w:val="left" w:pos="1134"/>
        </w:tabs>
      </w:pPr>
    </w:p>
    <w:p w:rsidR="00136F37" w:rsidRDefault="00136F37" w:rsidP="000C6F98">
      <w:pPr>
        <w:tabs>
          <w:tab w:val="left" w:pos="1134"/>
        </w:tabs>
      </w:pPr>
    </w:p>
    <w:p w:rsidR="00136F37" w:rsidRDefault="00136F37" w:rsidP="000C6F98">
      <w:pPr>
        <w:tabs>
          <w:tab w:val="left" w:pos="1134"/>
        </w:tabs>
      </w:pPr>
    </w:p>
    <w:p w:rsidR="00136F37" w:rsidRDefault="00136F37" w:rsidP="000C6F98">
      <w:pPr>
        <w:tabs>
          <w:tab w:val="left" w:pos="1134"/>
        </w:tabs>
      </w:pPr>
    </w:p>
    <w:p w:rsidR="00136F37" w:rsidRDefault="00136F37" w:rsidP="000C6F98">
      <w:pPr>
        <w:tabs>
          <w:tab w:val="left" w:pos="1134"/>
        </w:tabs>
      </w:pPr>
    </w:p>
    <w:p w:rsidR="00136F37" w:rsidRDefault="00136F37" w:rsidP="000C6F98">
      <w:pPr>
        <w:tabs>
          <w:tab w:val="left" w:pos="1134"/>
        </w:tabs>
      </w:pPr>
    </w:p>
    <w:p w:rsidR="00136F37" w:rsidRDefault="00136F37" w:rsidP="000C6F98">
      <w:pPr>
        <w:tabs>
          <w:tab w:val="left" w:pos="1134"/>
        </w:tabs>
      </w:pPr>
    </w:p>
    <w:p w:rsidR="00136F37" w:rsidRDefault="00136F37" w:rsidP="000C6F98">
      <w:pPr>
        <w:tabs>
          <w:tab w:val="left" w:pos="1134"/>
        </w:tabs>
      </w:pPr>
    </w:p>
    <w:p w:rsidR="00136F37" w:rsidRDefault="00136F37" w:rsidP="000C6F98">
      <w:pPr>
        <w:tabs>
          <w:tab w:val="left" w:pos="1134"/>
        </w:tabs>
      </w:pPr>
    </w:p>
    <w:p w:rsidR="00044940" w:rsidRDefault="00044940" w:rsidP="000C6F98">
      <w:pPr>
        <w:tabs>
          <w:tab w:val="left" w:pos="1134"/>
        </w:tabs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2143"/>
        <w:gridCol w:w="2725"/>
        <w:gridCol w:w="1271"/>
        <w:gridCol w:w="1594"/>
        <w:gridCol w:w="1755"/>
      </w:tblGrid>
      <w:tr w:rsidR="00044940" w:rsidRPr="000C6F98" w:rsidTr="00044940">
        <w:trPr>
          <w:trHeight w:val="1247"/>
        </w:trPr>
        <w:tc>
          <w:tcPr>
            <w:tcW w:w="718" w:type="dxa"/>
            <w:shd w:val="clear" w:color="auto" w:fill="C4BC96"/>
            <w:vAlign w:val="center"/>
          </w:tcPr>
          <w:p w:rsidR="00136F37" w:rsidRPr="000C6F98" w:rsidRDefault="00136F37" w:rsidP="000C6F98">
            <w:pPr>
              <w:tabs>
                <w:tab w:val="left" w:pos="1134"/>
              </w:tabs>
              <w:jc w:val="center"/>
              <w:rPr>
                <w:lang w:val="sr-Cyrl-RS"/>
              </w:rPr>
            </w:pPr>
            <w:r w:rsidRPr="000C6F98">
              <w:rPr>
                <w:lang w:val="sr-Cyrl-RS"/>
              </w:rPr>
              <w:t>Р.бр.</w:t>
            </w:r>
          </w:p>
        </w:tc>
        <w:tc>
          <w:tcPr>
            <w:tcW w:w="2143" w:type="dxa"/>
            <w:shd w:val="clear" w:color="auto" w:fill="C4BC96"/>
            <w:vAlign w:val="center"/>
          </w:tcPr>
          <w:p w:rsidR="00136F37" w:rsidRPr="000C6F98" w:rsidRDefault="00136F37" w:rsidP="000C6F98">
            <w:pPr>
              <w:tabs>
                <w:tab w:val="left" w:pos="1134"/>
              </w:tabs>
              <w:jc w:val="center"/>
              <w:rPr>
                <w:lang w:val="sr-Cyrl-RS"/>
              </w:rPr>
            </w:pPr>
            <w:r w:rsidRPr="000C6F98">
              <w:rPr>
                <w:lang w:val="sr-Cyrl-RS"/>
              </w:rPr>
              <w:t>Опис локације</w:t>
            </w:r>
          </w:p>
        </w:tc>
        <w:tc>
          <w:tcPr>
            <w:tcW w:w="2725" w:type="dxa"/>
            <w:shd w:val="clear" w:color="auto" w:fill="C4BC96"/>
            <w:vAlign w:val="center"/>
          </w:tcPr>
          <w:p w:rsidR="00136F37" w:rsidRPr="000C6F98" w:rsidRDefault="00136F37" w:rsidP="000C6F98">
            <w:pPr>
              <w:tabs>
                <w:tab w:val="left" w:pos="1134"/>
              </w:tabs>
              <w:ind w:left="-146"/>
              <w:jc w:val="center"/>
              <w:rPr>
                <w:lang w:val="sr-Cyrl-CS"/>
              </w:rPr>
            </w:pPr>
            <w:r w:rsidRPr="000C6F98">
              <w:rPr>
                <w:lang w:val="sr-Cyrl-CS"/>
              </w:rPr>
              <w:t>Опис билборда</w:t>
            </w:r>
          </w:p>
        </w:tc>
        <w:tc>
          <w:tcPr>
            <w:tcW w:w="1271" w:type="dxa"/>
            <w:shd w:val="clear" w:color="auto" w:fill="C4BC96"/>
            <w:vAlign w:val="center"/>
          </w:tcPr>
          <w:p w:rsidR="00136F37" w:rsidRPr="000C6F98" w:rsidRDefault="00136F37" w:rsidP="000C6F98">
            <w:pPr>
              <w:tabs>
                <w:tab w:val="left" w:pos="1134"/>
              </w:tabs>
              <w:jc w:val="center"/>
              <w:rPr>
                <w:lang w:val="sr-Cyrl-RS"/>
              </w:rPr>
            </w:pPr>
            <w:r w:rsidRPr="000C6F98">
              <w:rPr>
                <w:lang w:val="sr-Cyrl-RS"/>
              </w:rPr>
              <w:t>Број билборда</w:t>
            </w:r>
          </w:p>
        </w:tc>
        <w:tc>
          <w:tcPr>
            <w:tcW w:w="1594" w:type="dxa"/>
            <w:shd w:val="clear" w:color="auto" w:fill="C4BC96"/>
            <w:vAlign w:val="center"/>
          </w:tcPr>
          <w:p w:rsidR="00136F37" w:rsidRPr="000C6F98" w:rsidRDefault="00136F37" w:rsidP="000C6F98">
            <w:pPr>
              <w:tabs>
                <w:tab w:val="left" w:pos="1134"/>
              </w:tabs>
              <w:jc w:val="center"/>
              <w:rPr>
                <w:lang w:val="sr-Cyrl-RS"/>
              </w:rPr>
            </w:pPr>
            <w:r w:rsidRPr="000C6F98">
              <w:rPr>
                <w:lang w:val="sr-Cyrl-RS"/>
              </w:rPr>
              <w:t>Максимална површина конструкције билборда са површином за оглашавање</w:t>
            </w:r>
          </w:p>
        </w:tc>
        <w:tc>
          <w:tcPr>
            <w:tcW w:w="1755" w:type="dxa"/>
            <w:shd w:val="clear" w:color="auto" w:fill="C4BC96"/>
            <w:vAlign w:val="center"/>
          </w:tcPr>
          <w:p w:rsidR="00136F37" w:rsidRPr="000C6F98" w:rsidRDefault="00136F37" w:rsidP="00044940">
            <w:pPr>
              <w:tabs>
                <w:tab w:val="left" w:pos="1134"/>
              </w:tabs>
              <w:ind w:right="-57"/>
              <w:jc w:val="center"/>
              <w:rPr>
                <w:lang w:val="sr-Cyrl-RS"/>
              </w:rPr>
            </w:pPr>
            <w:r w:rsidRPr="000C6F98">
              <w:rPr>
                <w:lang w:val="sr-Cyrl-RS"/>
              </w:rPr>
              <w:t>Почетна цена за лицитацију (дин.)</w:t>
            </w:r>
          </w:p>
        </w:tc>
      </w:tr>
      <w:tr w:rsidR="00136F37" w:rsidRPr="000C6F98" w:rsidTr="00044940">
        <w:trPr>
          <w:trHeight w:val="557"/>
        </w:trPr>
        <w:tc>
          <w:tcPr>
            <w:tcW w:w="718" w:type="dxa"/>
            <w:shd w:val="clear" w:color="auto" w:fill="auto"/>
            <w:vAlign w:val="center"/>
          </w:tcPr>
          <w:p w:rsidR="00136F37" w:rsidRPr="000C6F98" w:rsidRDefault="00136F37" w:rsidP="000C6F98">
            <w:pPr>
              <w:tabs>
                <w:tab w:val="left" w:pos="1134"/>
              </w:tabs>
              <w:ind w:left="-1080" w:firstLine="1080"/>
              <w:jc w:val="center"/>
              <w:rPr>
                <w:lang w:val="sr-Cyrl-RS"/>
              </w:rPr>
            </w:pPr>
            <w:r w:rsidRPr="000C6F98">
              <w:rPr>
                <w:lang w:val="sr-Cyrl-RS"/>
              </w:rPr>
              <w:t>1.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136F37" w:rsidRPr="00F32EB8" w:rsidRDefault="00F32EB8" w:rsidP="00F32EB8">
            <w:pPr>
              <w:tabs>
                <w:tab w:val="left" w:pos="1134"/>
              </w:tabs>
              <w:rPr>
                <w:lang w:val="sr-Cyrl-CS"/>
              </w:rPr>
            </w:pPr>
            <w:r w:rsidRPr="00A86CE9">
              <w:rPr>
                <w:b/>
                <w:bCs/>
                <w:lang w:val="sr-Cyrl-CS"/>
              </w:rPr>
              <w:t>Локација 7</w:t>
            </w:r>
            <w:r>
              <w:rPr>
                <w:lang w:val="sr-Cyrl-CS"/>
              </w:rPr>
              <w:t xml:space="preserve"> – улица Светосавска, код броја 28, преко пута Музичке школе</w:t>
            </w:r>
            <w:r w:rsidRPr="000C6F98">
              <w:rPr>
                <w:lang w:val="sr-Cyrl-CS"/>
              </w:rPr>
              <w:t xml:space="preserve"> </w:t>
            </w:r>
            <w:r>
              <w:rPr>
                <w:lang w:val="en-US"/>
              </w:rPr>
              <w:t>“</w:t>
            </w:r>
            <w:r>
              <w:rPr>
                <w:lang w:val="sr-Cyrl-CS"/>
              </w:rPr>
              <w:t>Слободан Малбашки</w:t>
            </w:r>
            <w:r>
              <w:rPr>
                <w:lang w:val="en-US"/>
              </w:rPr>
              <w:t>”</w:t>
            </w:r>
          </w:p>
        </w:tc>
        <w:tc>
          <w:tcPr>
            <w:tcW w:w="2725" w:type="dxa"/>
            <w:vAlign w:val="center"/>
          </w:tcPr>
          <w:p w:rsidR="00136F37" w:rsidRDefault="00136F37" w:rsidP="000C6F98">
            <w:pPr>
              <w:tabs>
                <w:tab w:val="left" w:pos="1134"/>
              </w:tabs>
              <w:jc w:val="center"/>
              <w:rPr>
                <w:lang w:val="sr-Cyrl-CS"/>
              </w:rPr>
            </w:pPr>
            <w:r w:rsidRPr="000C6F98">
              <w:rPr>
                <w:lang w:val="sr-Cyrl-CS"/>
              </w:rPr>
              <w:t>једностран, осветљен</w:t>
            </w:r>
            <w:r w:rsidR="00F32EB8">
              <w:rPr>
                <w:lang w:val="sr-Cyrl-CS"/>
              </w:rPr>
              <w:t>,</w:t>
            </w:r>
          </w:p>
          <w:p w:rsidR="00F32EB8" w:rsidRPr="00F32EB8" w:rsidRDefault="00F32EB8" w:rsidP="000C6F98">
            <w:pPr>
              <w:tabs>
                <w:tab w:val="left" w:pos="1134"/>
              </w:tabs>
              <w:jc w:val="center"/>
              <w:rPr>
                <w:lang w:val="sr-Cyrl-CS"/>
              </w:rPr>
            </w:pPr>
            <w:r>
              <w:rPr>
                <w:lang w:val="en-US"/>
              </w:rPr>
              <w:t>LED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36F37" w:rsidRPr="000C6F98" w:rsidRDefault="00136F37" w:rsidP="000C6F98">
            <w:pPr>
              <w:tabs>
                <w:tab w:val="left" w:pos="1134"/>
              </w:tabs>
              <w:jc w:val="center"/>
              <w:rPr>
                <w:lang w:val="sr-Cyrl-CS"/>
              </w:rPr>
            </w:pPr>
            <w:r w:rsidRPr="000C6F98">
              <w:rPr>
                <w:lang w:val="sr-Cyrl-CS"/>
              </w:rPr>
              <w:t>1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36F37" w:rsidRPr="000C6F98" w:rsidRDefault="00136F37" w:rsidP="000C6F98">
            <w:pPr>
              <w:tabs>
                <w:tab w:val="left" w:pos="1134"/>
              </w:tabs>
              <w:jc w:val="center"/>
              <w:rPr>
                <w:lang w:val="sr-Cyrl-CS"/>
              </w:rPr>
            </w:pPr>
            <w:r w:rsidRPr="000C6F98">
              <w:rPr>
                <w:lang w:val="sr-Cyrl-CS"/>
              </w:rPr>
              <w:t>12</w:t>
            </w:r>
            <w:r w:rsidRPr="000C6F98">
              <w:rPr>
                <w:lang w:val="sr-Latn-RS"/>
              </w:rPr>
              <w:t>.</w:t>
            </w:r>
            <w:r w:rsidRPr="000C6F98">
              <w:rPr>
                <w:lang w:val="sr-Cyrl-CS"/>
              </w:rPr>
              <w:t>5</w:t>
            </w:r>
            <w:r w:rsidRPr="000C6F98">
              <w:rPr>
                <w:lang w:val="sr-Latn-CS"/>
              </w:rPr>
              <w:t>m</w:t>
            </w:r>
            <w:r w:rsidRPr="000C6F98">
              <w:rPr>
                <w:vertAlign w:val="superscript"/>
                <w:lang w:val="sr-Cyrl-CS"/>
              </w:rPr>
              <w:t>2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136F37" w:rsidRPr="000C6F98" w:rsidRDefault="00136F37" w:rsidP="000C6F98">
            <w:pPr>
              <w:tabs>
                <w:tab w:val="left" w:pos="1134"/>
              </w:tabs>
              <w:jc w:val="center"/>
              <w:rPr>
                <w:lang w:val="sr-Cyrl-CS"/>
              </w:rPr>
            </w:pPr>
            <w:r w:rsidRPr="000C6F98">
              <w:rPr>
                <w:lang w:val="sr-Cyrl-CS"/>
              </w:rPr>
              <w:t>9,360.00</w:t>
            </w:r>
          </w:p>
        </w:tc>
      </w:tr>
    </w:tbl>
    <w:p w:rsidR="00136F37" w:rsidRPr="00C02867" w:rsidRDefault="00136F37" w:rsidP="000C6F98">
      <w:pPr>
        <w:tabs>
          <w:tab w:val="left" w:pos="1134"/>
        </w:tabs>
        <w:rPr>
          <w:lang w:val="sr-Cyrl-RS"/>
        </w:rPr>
      </w:pPr>
    </w:p>
    <w:p w:rsidR="00136F37" w:rsidRDefault="00136F37" w:rsidP="000C6F98">
      <w:pPr>
        <w:tabs>
          <w:tab w:val="left" w:pos="1134"/>
        </w:tabs>
        <w:ind w:left="709"/>
        <w:rPr>
          <w:lang w:val="sr-Cyrl-CS"/>
        </w:rPr>
      </w:pPr>
      <w:r>
        <w:rPr>
          <w:lang w:val="sr-Cyrl-CS"/>
        </w:rPr>
        <w:t xml:space="preserve">*     Наведена максимална површина конструкције билборда </w:t>
      </w:r>
      <w:r w:rsidRPr="00D25142">
        <w:rPr>
          <w:b/>
          <w:lang w:val="sr-Cyrl-CS"/>
        </w:rPr>
        <w:t>не укључује површину носећег стуба</w:t>
      </w:r>
    </w:p>
    <w:p w:rsidR="00136F37" w:rsidRDefault="00136F37" w:rsidP="000C6F98">
      <w:pPr>
        <w:tabs>
          <w:tab w:val="left" w:pos="1134"/>
        </w:tabs>
        <w:ind w:left="709"/>
        <w:rPr>
          <w:lang w:val="sr-Cyrl-CS"/>
        </w:rPr>
      </w:pPr>
      <w:r w:rsidRPr="006028EE">
        <w:rPr>
          <w:lang w:val="sr-Cyrl-CS"/>
        </w:rPr>
        <w:t>*</w:t>
      </w:r>
      <w:r>
        <w:rPr>
          <w:lang w:val="sr-Cyrl-CS"/>
        </w:rPr>
        <w:t>*</w:t>
      </w:r>
      <w:r w:rsidRPr="006028EE">
        <w:rPr>
          <w:lang w:val="sr-Cyrl-CS"/>
        </w:rPr>
        <w:t xml:space="preserve"> </w:t>
      </w:r>
      <w:r>
        <w:rPr>
          <w:lang w:val="sr-Cyrl-CS"/>
        </w:rPr>
        <w:t xml:space="preserve">  На наведеној локацији</w:t>
      </w:r>
      <w:r w:rsidRPr="006028EE">
        <w:rPr>
          <w:lang w:val="sr-Cyrl-CS"/>
        </w:rPr>
        <w:t xml:space="preserve"> </w:t>
      </w:r>
      <w:r>
        <w:rPr>
          <w:lang w:val="sr-Cyrl-CS"/>
        </w:rPr>
        <w:t xml:space="preserve">је </w:t>
      </w:r>
      <w:r w:rsidRPr="006028EE">
        <w:rPr>
          <w:lang w:val="sr-Cyrl-CS"/>
        </w:rPr>
        <w:t xml:space="preserve">могуће поставити </w:t>
      </w:r>
      <w:r>
        <w:rPr>
          <w:lang w:val="sr-Latn-RS"/>
        </w:rPr>
        <w:t>LED</w:t>
      </w:r>
      <w:r w:rsidRPr="006028EE">
        <w:rPr>
          <w:lang w:val="sr-Cyrl-CS"/>
        </w:rPr>
        <w:t xml:space="preserve"> билборд</w:t>
      </w:r>
    </w:p>
    <w:p w:rsidR="00136F37" w:rsidRDefault="00136F37" w:rsidP="000C6F98">
      <w:pPr>
        <w:tabs>
          <w:tab w:val="left" w:pos="1134"/>
        </w:tabs>
        <w:ind w:left="709"/>
        <w:rPr>
          <w:lang w:val="sr-Cyrl-CS"/>
        </w:rPr>
      </w:pPr>
      <w:r>
        <w:rPr>
          <w:lang w:val="sr-Cyrl-CS"/>
        </w:rPr>
        <w:t>*** Накнада управљача пута наплаћује се на месечном нивоу у складу са важећим Ценовником услуга управљања јавним путевима, објављеним на званичном сајту ЈП „Кикинда“</w:t>
      </w:r>
    </w:p>
    <w:p w:rsidR="00136F37" w:rsidRPr="00633817" w:rsidRDefault="00136F37" w:rsidP="000C6F98">
      <w:pPr>
        <w:tabs>
          <w:tab w:val="left" w:pos="1134"/>
        </w:tabs>
        <w:ind w:left="709"/>
        <w:rPr>
          <w:lang w:val="sr-Latn-RS"/>
        </w:rPr>
      </w:pPr>
    </w:p>
    <w:p w:rsidR="00136F37" w:rsidRPr="00C02867" w:rsidRDefault="00136F37" w:rsidP="000C6F98">
      <w:pPr>
        <w:tabs>
          <w:tab w:val="left" w:pos="1134"/>
        </w:tabs>
        <w:ind w:left="709"/>
        <w:rPr>
          <w:lang w:val="sr-Cyrl-RS"/>
        </w:rPr>
      </w:pPr>
    </w:p>
    <w:p w:rsidR="00044940" w:rsidRDefault="00044940" w:rsidP="00044940">
      <w:pPr>
        <w:tabs>
          <w:tab w:val="left" w:pos="1134"/>
        </w:tabs>
        <w:ind w:left="709"/>
        <w:rPr>
          <w:lang w:val="en-US"/>
        </w:rPr>
      </w:pPr>
    </w:p>
    <w:p w:rsidR="00044940" w:rsidRDefault="00044940" w:rsidP="00044940">
      <w:pPr>
        <w:tabs>
          <w:tab w:val="left" w:pos="1134"/>
        </w:tabs>
        <w:ind w:left="709"/>
        <w:rPr>
          <w:lang w:val="en-US"/>
        </w:rPr>
      </w:pPr>
    </w:p>
    <w:p w:rsidR="00044940" w:rsidRDefault="00044940" w:rsidP="00044940">
      <w:pPr>
        <w:tabs>
          <w:tab w:val="left" w:pos="1134"/>
        </w:tabs>
        <w:ind w:left="709"/>
        <w:rPr>
          <w:lang w:val="en-US"/>
        </w:rPr>
      </w:pPr>
    </w:p>
    <w:p w:rsidR="00044940" w:rsidRDefault="00044940" w:rsidP="00044940">
      <w:pPr>
        <w:tabs>
          <w:tab w:val="left" w:pos="1134"/>
        </w:tabs>
        <w:ind w:left="709"/>
        <w:rPr>
          <w:lang w:val="en-US"/>
        </w:rPr>
      </w:pPr>
    </w:p>
    <w:p w:rsidR="00044940" w:rsidRDefault="00044940" w:rsidP="00044940">
      <w:pPr>
        <w:tabs>
          <w:tab w:val="left" w:pos="1134"/>
        </w:tabs>
        <w:ind w:left="709"/>
        <w:rPr>
          <w:lang w:val="en-US"/>
        </w:rPr>
      </w:pPr>
    </w:p>
    <w:p w:rsidR="00044940" w:rsidRDefault="00044940" w:rsidP="00044940">
      <w:pPr>
        <w:tabs>
          <w:tab w:val="left" w:pos="1134"/>
        </w:tabs>
        <w:ind w:left="709"/>
        <w:rPr>
          <w:lang w:val="en-US"/>
        </w:rPr>
      </w:pPr>
    </w:p>
    <w:p w:rsidR="00044940" w:rsidRDefault="00044940" w:rsidP="00044940">
      <w:pPr>
        <w:tabs>
          <w:tab w:val="left" w:pos="1134"/>
        </w:tabs>
        <w:ind w:left="709"/>
        <w:rPr>
          <w:lang w:val="en-US"/>
        </w:rPr>
      </w:pPr>
    </w:p>
    <w:p w:rsidR="00044940" w:rsidRDefault="00044940" w:rsidP="00044940">
      <w:pPr>
        <w:tabs>
          <w:tab w:val="left" w:pos="1134"/>
        </w:tabs>
        <w:ind w:left="709"/>
        <w:rPr>
          <w:lang w:val="en-US"/>
        </w:rPr>
      </w:pPr>
    </w:p>
    <w:p w:rsidR="00044940" w:rsidRDefault="00044940" w:rsidP="00044940">
      <w:pPr>
        <w:tabs>
          <w:tab w:val="left" w:pos="1134"/>
        </w:tabs>
        <w:ind w:left="709"/>
        <w:rPr>
          <w:lang w:val="en-US"/>
        </w:rPr>
      </w:pPr>
    </w:p>
    <w:p w:rsidR="00044940" w:rsidRDefault="00044940" w:rsidP="00044940">
      <w:pPr>
        <w:tabs>
          <w:tab w:val="left" w:pos="1134"/>
        </w:tabs>
        <w:ind w:left="709"/>
        <w:rPr>
          <w:lang w:val="en-US"/>
        </w:rPr>
      </w:pPr>
    </w:p>
    <w:p w:rsidR="00044940" w:rsidRDefault="00044940" w:rsidP="00044940">
      <w:pPr>
        <w:tabs>
          <w:tab w:val="left" w:pos="1134"/>
        </w:tabs>
        <w:ind w:left="709"/>
        <w:rPr>
          <w:lang w:val="en-US"/>
        </w:rPr>
      </w:pPr>
    </w:p>
    <w:p w:rsidR="00044940" w:rsidRDefault="00044940" w:rsidP="00044940">
      <w:pPr>
        <w:tabs>
          <w:tab w:val="left" w:pos="1134"/>
        </w:tabs>
        <w:ind w:left="709"/>
        <w:rPr>
          <w:lang w:val="en-US"/>
        </w:rPr>
      </w:pPr>
    </w:p>
    <w:p w:rsidR="00044940" w:rsidRDefault="00044940" w:rsidP="00044940">
      <w:pPr>
        <w:tabs>
          <w:tab w:val="left" w:pos="1134"/>
        </w:tabs>
        <w:ind w:left="709"/>
        <w:rPr>
          <w:lang w:val="en-US"/>
        </w:rPr>
      </w:pPr>
    </w:p>
    <w:p w:rsidR="00044940" w:rsidRDefault="00044940" w:rsidP="00044940">
      <w:pPr>
        <w:tabs>
          <w:tab w:val="left" w:pos="1134"/>
        </w:tabs>
        <w:ind w:left="709"/>
        <w:rPr>
          <w:lang w:val="en-US"/>
        </w:rPr>
      </w:pPr>
    </w:p>
    <w:p w:rsidR="00044940" w:rsidRDefault="00044940" w:rsidP="00044940">
      <w:pPr>
        <w:tabs>
          <w:tab w:val="left" w:pos="1134"/>
        </w:tabs>
        <w:ind w:left="709"/>
        <w:rPr>
          <w:lang w:val="en-US"/>
        </w:rPr>
      </w:pPr>
    </w:p>
    <w:p w:rsidR="00044940" w:rsidRDefault="00F32EB8" w:rsidP="00F32EB8">
      <w:pPr>
        <w:tabs>
          <w:tab w:val="left" w:pos="4622"/>
        </w:tabs>
        <w:ind w:left="709"/>
        <w:rPr>
          <w:lang w:val="sr-Cyrl-CS"/>
        </w:rPr>
      </w:pPr>
      <w:r>
        <w:rPr>
          <w:lang w:val="en-US"/>
        </w:rPr>
        <w:tab/>
      </w:r>
    </w:p>
    <w:p w:rsidR="00F32EB8" w:rsidRDefault="00F32EB8" w:rsidP="00F32EB8">
      <w:pPr>
        <w:tabs>
          <w:tab w:val="left" w:pos="4622"/>
        </w:tabs>
        <w:ind w:left="709"/>
        <w:rPr>
          <w:lang w:val="sr-Cyrl-CS"/>
        </w:rPr>
      </w:pPr>
    </w:p>
    <w:p w:rsidR="00F32EB8" w:rsidRDefault="00F32EB8" w:rsidP="00F32EB8">
      <w:pPr>
        <w:tabs>
          <w:tab w:val="left" w:pos="4622"/>
        </w:tabs>
        <w:ind w:left="709"/>
        <w:rPr>
          <w:lang w:val="sr-Cyrl-CS"/>
        </w:rPr>
      </w:pPr>
    </w:p>
    <w:p w:rsidR="00F32EB8" w:rsidRDefault="00F32EB8" w:rsidP="00F32EB8">
      <w:pPr>
        <w:tabs>
          <w:tab w:val="left" w:pos="4622"/>
        </w:tabs>
        <w:ind w:left="709"/>
        <w:rPr>
          <w:lang w:val="sr-Cyrl-CS"/>
        </w:rPr>
      </w:pPr>
    </w:p>
    <w:p w:rsidR="00F32EB8" w:rsidRDefault="00F32EB8" w:rsidP="00F32EB8">
      <w:pPr>
        <w:tabs>
          <w:tab w:val="left" w:pos="4622"/>
        </w:tabs>
        <w:ind w:left="709"/>
        <w:rPr>
          <w:lang w:val="sr-Cyrl-CS"/>
        </w:rPr>
      </w:pPr>
    </w:p>
    <w:p w:rsidR="00F32EB8" w:rsidRDefault="00F32EB8" w:rsidP="00F32EB8">
      <w:pPr>
        <w:tabs>
          <w:tab w:val="left" w:pos="4622"/>
        </w:tabs>
        <w:ind w:left="709"/>
        <w:rPr>
          <w:lang w:val="sr-Cyrl-CS"/>
        </w:rPr>
      </w:pPr>
    </w:p>
    <w:p w:rsidR="00F32EB8" w:rsidRDefault="00F32EB8" w:rsidP="00F32EB8">
      <w:pPr>
        <w:tabs>
          <w:tab w:val="left" w:pos="4622"/>
        </w:tabs>
        <w:ind w:left="709"/>
        <w:rPr>
          <w:lang w:val="sr-Cyrl-CS"/>
        </w:rPr>
      </w:pPr>
    </w:p>
    <w:p w:rsidR="00F32EB8" w:rsidRDefault="00F32EB8" w:rsidP="00F32EB8">
      <w:pPr>
        <w:tabs>
          <w:tab w:val="left" w:pos="4622"/>
        </w:tabs>
        <w:ind w:left="709"/>
        <w:rPr>
          <w:lang w:val="sr-Cyrl-CS"/>
        </w:rPr>
      </w:pPr>
    </w:p>
    <w:p w:rsidR="00F32EB8" w:rsidRDefault="00F32EB8" w:rsidP="00F32EB8">
      <w:pPr>
        <w:tabs>
          <w:tab w:val="left" w:pos="4622"/>
        </w:tabs>
        <w:ind w:left="709"/>
        <w:rPr>
          <w:lang w:val="sr-Cyrl-CS"/>
        </w:rPr>
      </w:pPr>
    </w:p>
    <w:p w:rsidR="00F32EB8" w:rsidRDefault="00F32EB8" w:rsidP="00F32EB8">
      <w:pPr>
        <w:tabs>
          <w:tab w:val="left" w:pos="4622"/>
        </w:tabs>
        <w:ind w:left="709"/>
        <w:rPr>
          <w:lang w:val="sr-Cyrl-CS"/>
        </w:rPr>
      </w:pPr>
    </w:p>
    <w:p w:rsidR="00A44927" w:rsidRDefault="00A44927" w:rsidP="00F32EB8">
      <w:pPr>
        <w:tabs>
          <w:tab w:val="left" w:pos="4622"/>
        </w:tabs>
        <w:ind w:left="709"/>
        <w:rPr>
          <w:lang w:val="sr-Cyrl-CS"/>
        </w:rPr>
      </w:pPr>
    </w:p>
    <w:p w:rsidR="00A44927" w:rsidRPr="006F2184" w:rsidRDefault="00A44927" w:rsidP="006F2184">
      <w:pPr>
        <w:tabs>
          <w:tab w:val="left" w:pos="4622"/>
        </w:tabs>
        <w:rPr>
          <w:lang w:val="sr-Latn-RS"/>
        </w:rPr>
      </w:pPr>
      <w:bookmarkStart w:id="0" w:name="_GoBack"/>
      <w:bookmarkEnd w:id="0"/>
    </w:p>
    <w:sectPr w:rsidR="00A44927" w:rsidRPr="006F2184" w:rsidSect="000C6F98">
      <w:pgSz w:w="11907" w:h="16839" w:code="9"/>
      <w:pgMar w:top="567" w:right="850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FF0" w:rsidRDefault="00FF3FF0" w:rsidP="00BF3D3E">
      <w:r>
        <w:separator/>
      </w:r>
    </w:p>
  </w:endnote>
  <w:endnote w:type="continuationSeparator" w:id="0">
    <w:p w:rsidR="00FF3FF0" w:rsidRDefault="00FF3FF0" w:rsidP="00BF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FF0" w:rsidRDefault="00FF3FF0" w:rsidP="00BF3D3E">
      <w:r>
        <w:separator/>
      </w:r>
    </w:p>
  </w:footnote>
  <w:footnote w:type="continuationSeparator" w:id="0">
    <w:p w:rsidR="00FF3FF0" w:rsidRDefault="00FF3FF0" w:rsidP="00BF3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976A0"/>
    <w:multiLevelType w:val="hybridMultilevel"/>
    <w:tmpl w:val="3FFC0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BB"/>
    <w:rsid w:val="00043CB3"/>
    <w:rsid w:val="00044940"/>
    <w:rsid w:val="000514C4"/>
    <w:rsid w:val="00065DD4"/>
    <w:rsid w:val="000C6F98"/>
    <w:rsid w:val="000F062C"/>
    <w:rsid w:val="00121D69"/>
    <w:rsid w:val="00131695"/>
    <w:rsid w:val="00136F37"/>
    <w:rsid w:val="00147D72"/>
    <w:rsid w:val="00163FBA"/>
    <w:rsid w:val="00164318"/>
    <w:rsid w:val="001C03DE"/>
    <w:rsid w:val="00204423"/>
    <w:rsid w:val="00254B24"/>
    <w:rsid w:val="002C09A4"/>
    <w:rsid w:val="00396884"/>
    <w:rsid w:val="003B4CA0"/>
    <w:rsid w:val="003B754B"/>
    <w:rsid w:val="003C4CF4"/>
    <w:rsid w:val="00403E88"/>
    <w:rsid w:val="00432DA1"/>
    <w:rsid w:val="00434BB6"/>
    <w:rsid w:val="00454217"/>
    <w:rsid w:val="004A0FB9"/>
    <w:rsid w:val="0054791D"/>
    <w:rsid w:val="00566F1C"/>
    <w:rsid w:val="0057635D"/>
    <w:rsid w:val="00593A57"/>
    <w:rsid w:val="005A4786"/>
    <w:rsid w:val="005A53BB"/>
    <w:rsid w:val="0065239D"/>
    <w:rsid w:val="006963CA"/>
    <w:rsid w:val="006F2184"/>
    <w:rsid w:val="00710F36"/>
    <w:rsid w:val="007157F4"/>
    <w:rsid w:val="00740C3A"/>
    <w:rsid w:val="007A48BF"/>
    <w:rsid w:val="007B147D"/>
    <w:rsid w:val="007B43B8"/>
    <w:rsid w:val="00804FAF"/>
    <w:rsid w:val="0083697C"/>
    <w:rsid w:val="008450B8"/>
    <w:rsid w:val="00845FC4"/>
    <w:rsid w:val="00867608"/>
    <w:rsid w:val="008968F0"/>
    <w:rsid w:val="008A0888"/>
    <w:rsid w:val="0092779D"/>
    <w:rsid w:val="0094384F"/>
    <w:rsid w:val="009B0913"/>
    <w:rsid w:val="009F595D"/>
    <w:rsid w:val="00A01273"/>
    <w:rsid w:val="00A03576"/>
    <w:rsid w:val="00A058FC"/>
    <w:rsid w:val="00A124A8"/>
    <w:rsid w:val="00A44927"/>
    <w:rsid w:val="00A53E31"/>
    <w:rsid w:val="00A8407F"/>
    <w:rsid w:val="00A9558E"/>
    <w:rsid w:val="00AC2DFE"/>
    <w:rsid w:val="00AC302B"/>
    <w:rsid w:val="00B440A9"/>
    <w:rsid w:val="00BB1B31"/>
    <w:rsid w:val="00BB3AB9"/>
    <w:rsid w:val="00BD60A7"/>
    <w:rsid w:val="00BE36F2"/>
    <w:rsid w:val="00BF3D3E"/>
    <w:rsid w:val="00BF57ED"/>
    <w:rsid w:val="00C1206E"/>
    <w:rsid w:val="00D55A08"/>
    <w:rsid w:val="00D60169"/>
    <w:rsid w:val="00DB3989"/>
    <w:rsid w:val="00DD7B3A"/>
    <w:rsid w:val="00DE3B5B"/>
    <w:rsid w:val="00DF32A5"/>
    <w:rsid w:val="00DF3A98"/>
    <w:rsid w:val="00E03460"/>
    <w:rsid w:val="00E70AEA"/>
    <w:rsid w:val="00EC595B"/>
    <w:rsid w:val="00EC60FB"/>
    <w:rsid w:val="00EF0C92"/>
    <w:rsid w:val="00EF0EFA"/>
    <w:rsid w:val="00F32EB8"/>
    <w:rsid w:val="00FB7DB2"/>
    <w:rsid w:val="00FC241D"/>
    <w:rsid w:val="00F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3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3BB"/>
    <w:pPr>
      <w:ind w:left="720"/>
    </w:pPr>
  </w:style>
  <w:style w:type="character" w:styleId="Hyperlink">
    <w:name w:val="Hyperlink"/>
    <w:uiPriority w:val="99"/>
    <w:unhideWhenUsed/>
    <w:rsid w:val="005A53BB"/>
    <w:rPr>
      <w:color w:val="0000FF"/>
      <w:u w:val="single"/>
    </w:rPr>
  </w:style>
  <w:style w:type="paragraph" w:customStyle="1" w:styleId="Standard">
    <w:name w:val="Standard"/>
    <w:rsid w:val="005A53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3BB"/>
    <w:rPr>
      <w:rFonts w:ascii="Tahoma" w:eastAsia="Times New Roman" w:hAnsi="Tahoma" w:cs="Tahoma"/>
      <w:sz w:val="16"/>
      <w:szCs w:val="16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BF3D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D3E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BF3D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D3E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F3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D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D3E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D3E"/>
    <w:rPr>
      <w:rFonts w:ascii="Times New Roman" w:eastAsia="Times New Roman" w:hAnsi="Times New Roman" w:cs="Times New Roman"/>
      <w:b/>
      <w:bCs/>
      <w:sz w:val="20"/>
      <w:szCs w:val="20"/>
      <w:lang w:val="en-GB" w:eastAsia="ar-SA"/>
    </w:rPr>
  </w:style>
  <w:style w:type="paragraph" w:styleId="NormalWeb">
    <w:name w:val="Normal (Web)"/>
    <w:basedOn w:val="Normal"/>
    <w:unhideWhenUsed/>
    <w:rsid w:val="00A44927"/>
    <w:pPr>
      <w:suppressAutoHyphens w:val="0"/>
      <w:spacing w:before="100" w:beforeAutospacing="1" w:after="115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3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3BB"/>
    <w:pPr>
      <w:ind w:left="720"/>
    </w:pPr>
  </w:style>
  <w:style w:type="character" w:styleId="Hyperlink">
    <w:name w:val="Hyperlink"/>
    <w:uiPriority w:val="99"/>
    <w:unhideWhenUsed/>
    <w:rsid w:val="005A53BB"/>
    <w:rPr>
      <w:color w:val="0000FF"/>
      <w:u w:val="single"/>
    </w:rPr>
  </w:style>
  <w:style w:type="paragraph" w:customStyle="1" w:styleId="Standard">
    <w:name w:val="Standard"/>
    <w:rsid w:val="005A53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3BB"/>
    <w:rPr>
      <w:rFonts w:ascii="Tahoma" w:eastAsia="Times New Roman" w:hAnsi="Tahoma" w:cs="Tahoma"/>
      <w:sz w:val="16"/>
      <w:szCs w:val="16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BF3D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D3E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BF3D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D3E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F3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D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D3E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D3E"/>
    <w:rPr>
      <w:rFonts w:ascii="Times New Roman" w:eastAsia="Times New Roman" w:hAnsi="Times New Roman" w:cs="Times New Roman"/>
      <w:b/>
      <w:bCs/>
      <w:sz w:val="20"/>
      <w:szCs w:val="20"/>
      <w:lang w:val="en-GB" w:eastAsia="ar-SA"/>
    </w:rPr>
  </w:style>
  <w:style w:type="paragraph" w:styleId="NormalWeb">
    <w:name w:val="Normal (Web)"/>
    <w:basedOn w:val="Normal"/>
    <w:unhideWhenUsed/>
    <w:rsid w:val="00A44927"/>
    <w:pPr>
      <w:suppressAutoHyphens w:val="0"/>
      <w:spacing w:before="100" w:beforeAutospacing="1" w:after="115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ikinda.org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CEBBB-147F-4ABA-BDFD-359D55D2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4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</dc:creator>
  <cp:lastModifiedBy>Tamara Skoro</cp:lastModifiedBy>
  <cp:revision>57</cp:revision>
  <cp:lastPrinted>2019-11-04T11:36:00Z</cp:lastPrinted>
  <dcterms:created xsi:type="dcterms:W3CDTF">2019-10-11T09:04:00Z</dcterms:created>
  <dcterms:modified xsi:type="dcterms:W3CDTF">2019-11-05T10:37:00Z</dcterms:modified>
</cp:coreProperties>
</file>